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1" w:rsidRPr="00CA2D11" w:rsidRDefault="00CA2D11" w:rsidP="00CA2D11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关于暂停</w:t>
      </w: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五矿稀土</w:t>
      </w: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Pr="00CA2D11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CA2D11" w:rsidRPr="00CA2D11" w:rsidRDefault="00CA2D11" w:rsidP="00CA2D11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CA2D11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Pr="00CA2D11">
        <w:rPr>
          <w:rFonts w:ascii="Arial" w:eastAsia="宋体" w:hAnsi="Arial" w:cs="Arial"/>
          <w:color w:val="777777"/>
          <w:kern w:val="0"/>
          <w:szCs w:val="18"/>
        </w:rPr>
        <w:t xml:space="preserve"> 2015-6-30 </w:t>
      </w: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CA2D11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2015年6月29日收盘后，五矿稀土（证券代码：000831）融资余额和信用账户持有市值均达到该股票上市可流通市值的25%。依照《深圳证券交易所融资融券交易实施细则》及《关于修改&lt;深圳证券交易所融资融券交易实施细则&gt;第6.1条的通知》的规定，本所自2015年6月30日起暂停该标的股票融资买入, 恢复时间另行通知。</w:t>
      </w: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CA2D11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bookmarkStart w:id="0" w:name="_GoBack"/>
      <w:bookmarkEnd w:id="0"/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CA2D11">
        <w:rPr>
          <w:rFonts w:asciiTheme="minorEastAsia" w:hAnsiTheme="minorEastAsia" w:cs="宋体" w:hint="eastAsia"/>
          <w:color w:val="2E2E2E"/>
          <w:kern w:val="0"/>
          <w:szCs w:val="18"/>
        </w:rPr>
        <w:t>深圳证券交易所</w:t>
      </w:r>
    </w:p>
    <w:p w:rsidR="00CA2D11" w:rsidRPr="00CA2D11" w:rsidRDefault="00CA2D11" w:rsidP="00CA2D11">
      <w:pPr>
        <w:widowControl/>
        <w:spacing w:line="360" w:lineRule="atLeast"/>
        <w:ind w:firstLineChars="200" w:firstLine="420"/>
        <w:jc w:val="right"/>
        <w:rPr>
          <w:rFonts w:ascii="宋体" w:eastAsia="宋体" w:hAnsi="宋体" w:cs="宋体" w:hint="eastAsia"/>
          <w:color w:val="2E2E2E"/>
          <w:kern w:val="0"/>
          <w:sz w:val="32"/>
          <w:szCs w:val="24"/>
        </w:rPr>
      </w:pPr>
      <w:r w:rsidRPr="00CA2D11">
        <w:rPr>
          <w:rFonts w:asciiTheme="minorEastAsia" w:hAnsiTheme="minorEastAsia" w:cs="宋体" w:hint="eastAsia"/>
          <w:color w:val="2E2E2E"/>
          <w:kern w:val="0"/>
          <w:szCs w:val="18"/>
        </w:rPr>
        <w:t>2015年6月30日</w:t>
      </w:r>
    </w:p>
    <w:p w:rsidR="008E7E61" w:rsidRPr="00CA2D11" w:rsidRDefault="008E7E61">
      <w:pPr>
        <w:rPr>
          <w:sz w:val="24"/>
        </w:rPr>
      </w:pPr>
    </w:p>
    <w:sectPr w:rsidR="008E7E61" w:rsidRPr="00CA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25" w:rsidRDefault="00E75825" w:rsidP="00CA2D11">
      <w:r>
        <w:separator/>
      </w:r>
    </w:p>
  </w:endnote>
  <w:endnote w:type="continuationSeparator" w:id="0">
    <w:p w:rsidR="00E75825" w:rsidRDefault="00E75825" w:rsidP="00C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25" w:rsidRDefault="00E75825" w:rsidP="00CA2D11">
      <w:r>
        <w:separator/>
      </w:r>
    </w:p>
  </w:footnote>
  <w:footnote w:type="continuationSeparator" w:id="0">
    <w:p w:rsidR="00E75825" w:rsidRDefault="00E75825" w:rsidP="00CA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1A"/>
    <w:rsid w:val="001E1B1A"/>
    <w:rsid w:val="008E7E61"/>
    <w:rsid w:val="00CA2D11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1963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2015-07-01T01:15:00Z</dcterms:created>
  <dcterms:modified xsi:type="dcterms:W3CDTF">2015-07-01T01:16:00Z</dcterms:modified>
</cp:coreProperties>
</file>