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5" w:rsidRPr="00E45175" w:rsidRDefault="00F073B0" w:rsidP="00E45175">
      <w:pPr>
        <w:widowControl/>
        <w:spacing w:line="300" w:lineRule="atLeast"/>
        <w:jc w:val="center"/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</w:pPr>
      <w:r w:rsidRPr="00F073B0">
        <w:rPr>
          <w:rFonts w:ascii="Arial" w:eastAsia="宋体" w:hAnsi="Arial" w:cs="Arial" w:hint="eastAsia"/>
          <w:b/>
          <w:bCs/>
          <w:color w:val="4E4E4E"/>
          <w:kern w:val="0"/>
          <w:sz w:val="32"/>
          <w:szCs w:val="24"/>
        </w:rPr>
        <w:t>关于</w:t>
      </w:r>
      <w:r w:rsidR="0079650F">
        <w:rPr>
          <w:rFonts w:ascii="Arial" w:eastAsia="宋体" w:hAnsi="Arial" w:cs="Arial" w:hint="eastAsia"/>
          <w:b/>
          <w:bCs/>
          <w:color w:val="4E4E4E"/>
          <w:kern w:val="0"/>
          <w:sz w:val="32"/>
          <w:szCs w:val="24"/>
        </w:rPr>
        <w:t>将</w:t>
      </w:r>
      <w:r w:rsidR="00410226" w:rsidRPr="00410226">
        <w:rPr>
          <w:rFonts w:ascii="Arial" w:eastAsia="宋体" w:hAnsi="Arial" w:cs="Arial" w:hint="eastAsia"/>
          <w:b/>
          <w:bCs/>
          <w:color w:val="4E4E4E"/>
          <w:kern w:val="0"/>
          <w:sz w:val="32"/>
          <w:szCs w:val="24"/>
        </w:rPr>
        <w:t>中原特钢</w:t>
      </w:r>
      <w:r w:rsidR="0079650F" w:rsidRPr="0079650F">
        <w:rPr>
          <w:rFonts w:ascii="Arial" w:eastAsia="宋体" w:hAnsi="Arial" w:cs="Arial" w:hint="eastAsia"/>
          <w:b/>
          <w:bCs/>
          <w:color w:val="4E4E4E"/>
          <w:kern w:val="0"/>
          <w:sz w:val="32"/>
          <w:szCs w:val="24"/>
        </w:rPr>
        <w:t>股份有限公司</w:t>
      </w:r>
      <w:r w:rsidRPr="00F073B0">
        <w:rPr>
          <w:rFonts w:ascii="Arial" w:eastAsia="宋体" w:hAnsi="Arial" w:cs="Arial" w:hint="eastAsia"/>
          <w:b/>
          <w:bCs/>
          <w:color w:val="4E4E4E"/>
          <w:kern w:val="0"/>
          <w:sz w:val="32"/>
          <w:szCs w:val="24"/>
        </w:rPr>
        <w:t>股票调出融资融券标的证券名单的公告</w:t>
      </w:r>
      <w:r w:rsidR="00E45175" w:rsidRPr="00E45175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 xml:space="preserve"> </w:t>
      </w:r>
    </w:p>
    <w:p w:rsidR="00E45175" w:rsidRPr="00E45175" w:rsidRDefault="00E45175" w:rsidP="00E45175">
      <w:pPr>
        <w:widowControl/>
        <w:spacing w:line="300" w:lineRule="atLeast"/>
        <w:jc w:val="center"/>
        <w:rPr>
          <w:rFonts w:ascii="Arial" w:eastAsia="宋体" w:hAnsi="Arial" w:cs="Arial"/>
          <w:color w:val="777777"/>
          <w:kern w:val="0"/>
          <w:szCs w:val="18"/>
        </w:rPr>
      </w:pPr>
      <w:r w:rsidRPr="00E45175">
        <w:rPr>
          <w:rFonts w:ascii="Arial" w:eastAsia="宋体" w:hAnsi="Arial" w:cs="Arial"/>
          <w:color w:val="777777"/>
          <w:kern w:val="0"/>
          <w:szCs w:val="18"/>
        </w:rPr>
        <w:t>日期：</w:t>
      </w:r>
      <w:r w:rsidR="00F073B0">
        <w:rPr>
          <w:rFonts w:ascii="Arial" w:eastAsia="宋体" w:hAnsi="Arial" w:cs="Arial"/>
          <w:color w:val="777777"/>
          <w:kern w:val="0"/>
          <w:szCs w:val="18"/>
        </w:rPr>
        <w:t xml:space="preserve"> 201</w:t>
      </w:r>
      <w:r w:rsidR="00F073B0">
        <w:rPr>
          <w:rFonts w:ascii="Arial" w:eastAsia="宋体" w:hAnsi="Arial" w:cs="Arial" w:hint="eastAsia"/>
          <w:color w:val="777777"/>
          <w:kern w:val="0"/>
          <w:szCs w:val="18"/>
        </w:rPr>
        <w:t>6</w:t>
      </w:r>
      <w:r w:rsidR="00F073B0">
        <w:rPr>
          <w:rFonts w:ascii="Arial" w:eastAsia="宋体" w:hAnsi="Arial" w:cs="Arial"/>
          <w:color w:val="777777"/>
          <w:kern w:val="0"/>
          <w:szCs w:val="18"/>
        </w:rPr>
        <w:t>-</w:t>
      </w:r>
      <w:r w:rsidR="00326CE3">
        <w:rPr>
          <w:rFonts w:ascii="Arial" w:eastAsia="宋体" w:hAnsi="Arial" w:cs="Arial" w:hint="eastAsia"/>
          <w:color w:val="777777"/>
          <w:kern w:val="0"/>
          <w:szCs w:val="18"/>
        </w:rPr>
        <w:t>4</w:t>
      </w:r>
      <w:r w:rsidR="00326CE3">
        <w:rPr>
          <w:rFonts w:ascii="Arial" w:eastAsia="宋体" w:hAnsi="Arial" w:cs="Arial"/>
          <w:color w:val="777777"/>
          <w:kern w:val="0"/>
          <w:szCs w:val="18"/>
        </w:rPr>
        <w:t>-</w:t>
      </w:r>
      <w:r w:rsidR="0071197D">
        <w:rPr>
          <w:rFonts w:ascii="Arial" w:eastAsia="宋体" w:hAnsi="Arial" w:cs="Arial" w:hint="eastAsia"/>
          <w:color w:val="777777"/>
          <w:kern w:val="0"/>
          <w:szCs w:val="18"/>
        </w:rPr>
        <w:t>29</w:t>
      </w:r>
    </w:p>
    <w:p w:rsidR="00E45175" w:rsidRPr="00E45175" w:rsidRDefault="00E45175" w:rsidP="00E45175">
      <w:pPr>
        <w:widowControl/>
        <w:spacing w:line="360" w:lineRule="atLeast"/>
        <w:jc w:val="left"/>
        <w:rPr>
          <w:rFonts w:asciiTheme="minorEastAsia" w:hAnsiTheme="minorEastAsia" w:cs="宋体"/>
          <w:color w:val="2E2E2E"/>
          <w:kern w:val="0"/>
          <w:szCs w:val="18"/>
        </w:rPr>
      </w:pPr>
    </w:p>
    <w:p w:rsidR="00E45175" w:rsidRPr="00E45175" w:rsidRDefault="00410226" w:rsidP="00E45175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2E2E2E"/>
          <w:kern w:val="0"/>
          <w:szCs w:val="18"/>
        </w:rPr>
      </w:pPr>
      <w:r w:rsidRPr="00410226">
        <w:rPr>
          <w:rFonts w:asciiTheme="minorEastAsia" w:hAnsiTheme="minorEastAsia" w:cs="宋体" w:hint="eastAsia"/>
          <w:color w:val="2E2E2E"/>
          <w:kern w:val="0"/>
          <w:szCs w:val="18"/>
        </w:rPr>
        <w:t>中原特钢</w:t>
      </w:r>
      <w:r w:rsidR="0079650F" w:rsidRPr="0079650F">
        <w:rPr>
          <w:rFonts w:asciiTheme="minorEastAsia" w:hAnsiTheme="minorEastAsia" w:cs="宋体" w:hint="eastAsia"/>
          <w:color w:val="2E2E2E"/>
          <w:kern w:val="0"/>
          <w:szCs w:val="18"/>
        </w:rPr>
        <w:t>股份有限公司</w:t>
      </w:r>
      <w:r w:rsidR="00F073B0">
        <w:rPr>
          <w:rFonts w:asciiTheme="minorEastAsia" w:hAnsiTheme="minorEastAsia" w:cs="宋体" w:hint="eastAsia"/>
          <w:color w:val="2E2E2E"/>
          <w:kern w:val="0"/>
          <w:szCs w:val="18"/>
        </w:rPr>
        <w:t>因</w:t>
      </w:r>
      <w:r w:rsidR="0079650F">
        <w:rPr>
          <w:rFonts w:asciiTheme="minorEastAsia" w:hAnsiTheme="minorEastAsia" w:cs="宋体" w:hint="eastAsia"/>
          <w:color w:val="2E2E2E"/>
          <w:kern w:val="0"/>
          <w:szCs w:val="18"/>
        </w:rPr>
        <w:t>2014</w:t>
      </w:r>
      <w:r w:rsidR="00F073B0">
        <w:rPr>
          <w:rFonts w:asciiTheme="minorEastAsia" w:hAnsiTheme="minorEastAsia" w:cs="宋体" w:hint="eastAsia"/>
          <w:color w:val="2E2E2E"/>
          <w:kern w:val="0"/>
          <w:szCs w:val="18"/>
        </w:rPr>
        <w:t>年、2015年连续两年亏损，其股票（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证券代码：</w:t>
      </w:r>
      <w:r>
        <w:rPr>
          <w:rFonts w:asciiTheme="minorEastAsia" w:hAnsiTheme="minorEastAsia" w:cs="宋体" w:hint="eastAsia"/>
          <w:color w:val="2E2E2E"/>
          <w:kern w:val="0"/>
          <w:szCs w:val="18"/>
        </w:rPr>
        <w:t>002423</w:t>
      </w:r>
      <w:bookmarkStart w:id="0" w:name="_GoBack"/>
      <w:bookmarkEnd w:id="0"/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）</w:t>
      </w:r>
      <w:r w:rsidR="00F073B0">
        <w:rPr>
          <w:rFonts w:asciiTheme="minorEastAsia" w:hAnsiTheme="minorEastAsia" w:cs="宋体" w:hint="eastAsia"/>
          <w:color w:val="2E2E2E"/>
          <w:kern w:val="0"/>
          <w:szCs w:val="18"/>
        </w:rPr>
        <w:t>自2016年</w:t>
      </w:r>
      <w:r w:rsidR="0071197D">
        <w:rPr>
          <w:rFonts w:asciiTheme="minorEastAsia" w:hAnsiTheme="minorEastAsia" w:cs="宋体" w:hint="eastAsia"/>
          <w:color w:val="2E2E2E"/>
          <w:kern w:val="0"/>
          <w:szCs w:val="18"/>
        </w:rPr>
        <w:t>5</w:t>
      </w:r>
      <w:r w:rsidR="00F073B0">
        <w:rPr>
          <w:rFonts w:asciiTheme="minorEastAsia" w:hAnsiTheme="minorEastAsia" w:cs="宋体" w:hint="eastAsia"/>
          <w:color w:val="2E2E2E"/>
          <w:kern w:val="0"/>
          <w:szCs w:val="18"/>
        </w:rPr>
        <w:t>月</w:t>
      </w:r>
      <w:r w:rsidR="0071197D">
        <w:rPr>
          <w:rFonts w:asciiTheme="minorEastAsia" w:hAnsiTheme="minorEastAsia" w:cs="宋体" w:hint="eastAsia"/>
          <w:color w:val="2E2E2E"/>
          <w:kern w:val="0"/>
          <w:szCs w:val="18"/>
        </w:rPr>
        <w:t>3</w:t>
      </w:r>
      <w:r w:rsidR="00F073B0">
        <w:rPr>
          <w:rFonts w:asciiTheme="minorEastAsia" w:hAnsiTheme="minorEastAsia" w:cs="宋体" w:hint="eastAsia"/>
          <w:color w:val="2E2E2E"/>
          <w:kern w:val="0"/>
          <w:szCs w:val="18"/>
        </w:rPr>
        <w:t>日起被本所实时“退市风险警示”特别处理。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根据《深圳证券交易所融资融券交易实施细则（2015</w:t>
      </w:r>
      <w:r w:rsidR="00F073B0">
        <w:rPr>
          <w:rFonts w:asciiTheme="minorEastAsia" w:hAnsiTheme="minorEastAsia" w:cs="宋体" w:hint="eastAsia"/>
          <w:color w:val="2E2E2E"/>
          <w:kern w:val="0"/>
          <w:szCs w:val="18"/>
        </w:rPr>
        <w:t>年修订）》第3.9条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规定，本所于</w:t>
      </w:r>
      <w:r w:rsidR="00F073B0">
        <w:rPr>
          <w:rFonts w:asciiTheme="minorEastAsia" w:hAnsiTheme="minorEastAsia" w:cs="宋体" w:hint="eastAsia"/>
          <w:color w:val="2E2E2E"/>
          <w:kern w:val="0"/>
          <w:szCs w:val="18"/>
        </w:rPr>
        <w:t>2016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年</w:t>
      </w:r>
      <w:r w:rsidR="0071197D">
        <w:rPr>
          <w:rFonts w:asciiTheme="minorEastAsia" w:hAnsiTheme="minorEastAsia" w:cs="宋体" w:hint="eastAsia"/>
          <w:color w:val="2E2E2E"/>
          <w:kern w:val="0"/>
          <w:szCs w:val="18"/>
        </w:rPr>
        <w:t>5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月</w:t>
      </w:r>
      <w:r w:rsidR="0071197D">
        <w:rPr>
          <w:rFonts w:asciiTheme="minorEastAsia" w:hAnsiTheme="minorEastAsia" w:cs="宋体" w:hint="eastAsia"/>
          <w:color w:val="2E2E2E"/>
          <w:kern w:val="0"/>
          <w:szCs w:val="18"/>
        </w:rPr>
        <w:t>3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日起将该股票调出融资融券标的证券名单。</w:t>
      </w:r>
    </w:p>
    <w:p w:rsidR="00E45175" w:rsidRPr="00E45175" w:rsidRDefault="00E45175" w:rsidP="00E45175">
      <w:pPr>
        <w:widowControl/>
        <w:spacing w:line="360" w:lineRule="atLeast"/>
        <w:jc w:val="left"/>
        <w:rPr>
          <w:rFonts w:asciiTheme="minorEastAsia" w:hAnsiTheme="minorEastAsia" w:cs="宋体"/>
          <w:color w:val="2E2E2E"/>
          <w:kern w:val="0"/>
          <w:szCs w:val="18"/>
        </w:rPr>
      </w:pPr>
      <w:r w:rsidRPr="00E45175">
        <w:rPr>
          <w:rFonts w:asciiTheme="minorEastAsia" w:hAnsiTheme="minorEastAsia" w:cs="宋体" w:hint="eastAsia"/>
          <w:color w:val="2E2E2E"/>
          <w:kern w:val="0"/>
          <w:szCs w:val="18"/>
        </w:rPr>
        <w:t xml:space="preserve">    特此公告</w:t>
      </w:r>
    </w:p>
    <w:p w:rsidR="00E45175" w:rsidRPr="00E45175" w:rsidRDefault="00E45175" w:rsidP="00E45175">
      <w:pPr>
        <w:widowControl/>
        <w:spacing w:line="360" w:lineRule="atLeast"/>
        <w:jc w:val="left"/>
        <w:rPr>
          <w:rFonts w:asciiTheme="minorEastAsia" w:hAnsiTheme="minorEastAsia" w:cs="宋体"/>
          <w:color w:val="2E2E2E"/>
          <w:kern w:val="0"/>
          <w:szCs w:val="18"/>
        </w:rPr>
      </w:pPr>
    </w:p>
    <w:p w:rsidR="00E45175" w:rsidRPr="00E45175" w:rsidRDefault="00E45175" w:rsidP="00E45175">
      <w:pPr>
        <w:widowControl/>
        <w:spacing w:line="360" w:lineRule="atLeast"/>
        <w:jc w:val="right"/>
        <w:rPr>
          <w:rFonts w:asciiTheme="minorEastAsia" w:hAnsiTheme="minorEastAsia" w:cs="宋体"/>
          <w:color w:val="2E2E2E"/>
          <w:kern w:val="0"/>
          <w:szCs w:val="18"/>
        </w:rPr>
      </w:pPr>
      <w:r w:rsidRPr="00E45175">
        <w:rPr>
          <w:rFonts w:asciiTheme="minorEastAsia" w:hAnsiTheme="minorEastAsia" w:cs="宋体" w:hint="eastAsia"/>
          <w:color w:val="2E2E2E"/>
          <w:kern w:val="0"/>
          <w:szCs w:val="18"/>
        </w:rPr>
        <w:t xml:space="preserve">深圳证券交易所    </w:t>
      </w:r>
    </w:p>
    <w:p w:rsidR="00E45175" w:rsidRPr="00E45175" w:rsidRDefault="00F073B0" w:rsidP="00E45175">
      <w:pPr>
        <w:widowControl/>
        <w:spacing w:line="360" w:lineRule="atLeast"/>
        <w:jc w:val="right"/>
        <w:rPr>
          <w:rFonts w:ascii="宋体" w:eastAsia="宋体" w:hAnsi="宋体" w:cs="宋体"/>
          <w:color w:val="2E2E2E"/>
          <w:kern w:val="0"/>
          <w:sz w:val="32"/>
          <w:szCs w:val="24"/>
        </w:rPr>
      </w:pPr>
      <w:r>
        <w:rPr>
          <w:rFonts w:asciiTheme="minorEastAsia" w:hAnsiTheme="minorEastAsia" w:cs="宋体" w:hint="eastAsia"/>
          <w:color w:val="2E2E2E"/>
          <w:kern w:val="0"/>
          <w:szCs w:val="18"/>
        </w:rPr>
        <w:t>2016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年</w:t>
      </w:r>
      <w:r w:rsidR="00326CE3">
        <w:rPr>
          <w:rFonts w:asciiTheme="minorEastAsia" w:hAnsiTheme="minorEastAsia" w:cs="宋体" w:hint="eastAsia"/>
          <w:color w:val="2E2E2E"/>
          <w:kern w:val="0"/>
          <w:szCs w:val="18"/>
        </w:rPr>
        <w:t>4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月</w:t>
      </w:r>
      <w:r w:rsidR="0071197D">
        <w:rPr>
          <w:rFonts w:asciiTheme="minorEastAsia" w:hAnsiTheme="minorEastAsia" w:cs="宋体" w:hint="eastAsia"/>
          <w:color w:val="2E2E2E"/>
          <w:kern w:val="0"/>
          <w:szCs w:val="18"/>
        </w:rPr>
        <w:t>29</w:t>
      </w:r>
      <w:r w:rsidR="00E45175" w:rsidRPr="00E45175">
        <w:rPr>
          <w:rFonts w:asciiTheme="minorEastAsia" w:hAnsiTheme="minorEastAsia" w:cs="宋体" w:hint="eastAsia"/>
          <w:color w:val="2E2E2E"/>
          <w:kern w:val="0"/>
          <w:szCs w:val="18"/>
        </w:rPr>
        <w:t>日 </w:t>
      </w:r>
    </w:p>
    <w:p w:rsidR="003F711C" w:rsidRPr="00E45175" w:rsidRDefault="003F711C">
      <w:pPr>
        <w:rPr>
          <w:sz w:val="32"/>
        </w:rPr>
      </w:pPr>
    </w:p>
    <w:sectPr w:rsidR="003F711C" w:rsidRPr="00E45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A2" w:rsidRDefault="00BA48A2" w:rsidP="00E45175">
      <w:r>
        <w:separator/>
      </w:r>
    </w:p>
  </w:endnote>
  <w:endnote w:type="continuationSeparator" w:id="0">
    <w:p w:rsidR="00BA48A2" w:rsidRDefault="00BA48A2" w:rsidP="00E4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A2" w:rsidRDefault="00BA48A2" w:rsidP="00E45175">
      <w:r>
        <w:separator/>
      </w:r>
    </w:p>
  </w:footnote>
  <w:footnote w:type="continuationSeparator" w:id="0">
    <w:p w:rsidR="00BA48A2" w:rsidRDefault="00BA48A2" w:rsidP="00E4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C"/>
    <w:rsid w:val="000C34E1"/>
    <w:rsid w:val="00326CE3"/>
    <w:rsid w:val="00354D8A"/>
    <w:rsid w:val="003F711C"/>
    <w:rsid w:val="00410226"/>
    <w:rsid w:val="00427B0C"/>
    <w:rsid w:val="005405F6"/>
    <w:rsid w:val="00547E44"/>
    <w:rsid w:val="00591D58"/>
    <w:rsid w:val="0071197D"/>
    <w:rsid w:val="0079650F"/>
    <w:rsid w:val="00BA48A2"/>
    <w:rsid w:val="00E45175"/>
    <w:rsid w:val="00F073B0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1D5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D5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591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5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51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5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51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1D58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D58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591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5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51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5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5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1DBE8"/>
                        <w:right w:val="none" w:sz="0" w:space="0" w:color="auto"/>
                      </w:divBdr>
                    </w:div>
                    <w:div w:id="15217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12</cp:revision>
  <dcterms:created xsi:type="dcterms:W3CDTF">2015-11-30T01:03:00Z</dcterms:created>
  <dcterms:modified xsi:type="dcterms:W3CDTF">2016-05-03T01:22:00Z</dcterms:modified>
</cp:coreProperties>
</file>