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A" w:rsidRPr="007C3EDA" w:rsidRDefault="007C3EDA" w:rsidP="007C3EDA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28"/>
          <w:szCs w:val="24"/>
        </w:rPr>
      </w:pPr>
      <w:r w:rsidRPr="007C3EDA">
        <w:rPr>
          <w:rFonts w:ascii="Arial" w:eastAsia="宋体" w:hAnsi="Arial" w:cs="Arial"/>
          <w:b/>
          <w:bCs/>
          <w:color w:val="4E4E4E"/>
          <w:kern w:val="0"/>
          <w:sz w:val="28"/>
          <w:szCs w:val="24"/>
        </w:rPr>
        <w:t>关于调整融资融券标的证券范围的通知</w:t>
      </w:r>
      <w:r w:rsidRPr="007C3EDA">
        <w:rPr>
          <w:rFonts w:ascii="Arial" w:eastAsia="宋体" w:hAnsi="Arial" w:cs="Arial"/>
          <w:b/>
          <w:bCs/>
          <w:color w:val="4E4E4E"/>
          <w:kern w:val="0"/>
          <w:sz w:val="28"/>
          <w:szCs w:val="24"/>
        </w:rPr>
        <w:t xml:space="preserve"> </w:t>
      </w:r>
    </w:p>
    <w:p w:rsidR="007C3EDA" w:rsidRPr="007C3EDA" w:rsidRDefault="007C3EDA" w:rsidP="007C3EDA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 w:val="20"/>
          <w:szCs w:val="18"/>
        </w:rPr>
      </w:pPr>
      <w:r w:rsidRPr="007C3EDA">
        <w:rPr>
          <w:rFonts w:ascii="Arial" w:eastAsia="宋体" w:hAnsi="Arial" w:cs="Arial"/>
          <w:color w:val="777777"/>
          <w:kern w:val="0"/>
          <w:sz w:val="20"/>
          <w:szCs w:val="18"/>
        </w:rPr>
        <w:t>日期：</w:t>
      </w:r>
      <w:r w:rsidRPr="007C3EDA">
        <w:rPr>
          <w:rFonts w:ascii="Arial" w:eastAsia="宋体" w:hAnsi="Arial" w:cs="Arial"/>
          <w:color w:val="777777"/>
          <w:kern w:val="0"/>
          <w:sz w:val="20"/>
          <w:szCs w:val="18"/>
        </w:rPr>
        <w:t xml:space="preserve"> 2017-3-17 </w:t>
      </w:r>
    </w:p>
    <w:p w:rsidR="007C3EDA" w:rsidRPr="007C3EDA" w:rsidRDefault="007C3EDA" w:rsidP="007C3EDA">
      <w:pPr>
        <w:widowControl/>
        <w:spacing w:line="360" w:lineRule="atLeast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各会员单位：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为促进融资融券业务健康长远发展，优化标的证券结构，根据《深圳证券交易所融资融券交易实施细则（2016年修订）》（以下简称“《实施细则》”）有关规定，本所决定建立融资融券标的证券（以下简称“标的证券”）定期评估调整机制，每季度末对标的证券进行评估并视情况实施调整。现将本次调整有关事项通知如下：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一、本次融资融券标的股票范围的调整维持425只标的股票总数量不变，以优先保留现有标的股票为基本原则，综合考虑市盈率、上市公司及市场情况等因素，并依据《实施细则》第3.2条规定，按照加权评价指标从大到小排序选取新增调入的标的股票。调整后的具体名单见附件1。加权评价指标的计算方式为：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加权评价指标=2×（一定期间内该股票平均流通市值/一定期间内深市A股平均流通市值）+（一定期间内该股票平均成交金额/</w:t>
      </w:r>
      <w:bookmarkStart w:id="0" w:name="_GoBack"/>
      <w:bookmarkEnd w:id="0"/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一定期间内深市A股平均成交金额）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二、本次融资融券标的交易型开放式基金范围的调整依据《实施细则》第3.3条规定，并综合考虑基金类型等因素进行，调整后的具体名单见附件2。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三、各会员单位应当高度重视，认真做好本次融资融券标的证券范围调整的业务和技术系统准备，确保相关工作顺利开展。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四、各会员单位应当持续优化融资融券风险监控指标，根据上市公司财务、规范运作及标的证券交易等情况，加强对标的证券的风险识别及差异化管理，采取相应措施防范业务风险，切实保护投资者合法权益。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五、本通知自2017年3月20日起施行。本所于2016年12月2日发布的《关于扩大融资融券标的股票范围的通知》（</w:t>
      </w:r>
      <w:proofErr w:type="gramStart"/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深证会〔2016〕</w:t>
      </w:r>
      <w:proofErr w:type="gramEnd"/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371号）同时废止。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特此通知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 </w:t>
      </w:r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附件：1．</w:t>
      </w:r>
      <w:hyperlink r:id="rId5" w:tgtFrame="_blank" w:history="1">
        <w:r w:rsidRPr="007C3EDA">
          <w:rPr>
            <w:rFonts w:asciiTheme="minorEastAsia" w:hAnsiTheme="minorEastAsia" w:cs="Arial"/>
            <w:color w:val="4E4E4E"/>
            <w:kern w:val="0"/>
            <w:sz w:val="20"/>
            <w:szCs w:val="18"/>
          </w:rPr>
          <w:t>融资融券标的股票名单</w:t>
        </w:r>
      </w:hyperlink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            2．</w:t>
      </w:r>
      <w:hyperlink r:id="rId6" w:tgtFrame="_blank" w:history="1">
        <w:r w:rsidRPr="007C3EDA">
          <w:rPr>
            <w:rFonts w:asciiTheme="minorEastAsia" w:hAnsiTheme="minorEastAsia" w:cs="Arial"/>
            <w:color w:val="4E4E4E"/>
            <w:kern w:val="0"/>
            <w:sz w:val="20"/>
            <w:szCs w:val="18"/>
          </w:rPr>
          <w:t>融资融券标的交易型开放式基金名单</w:t>
        </w:r>
      </w:hyperlink>
    </w:p>
    <w:p w:rsidR="007C3EDA" w:rsidRPr="007C3EDA" w:rsidRDefault="007C3EDA" w:rsidP="007C3EDA">
      <w:pPr>
        <w:widowControl/>
        <w:spacing w:line="360" w:lineRule="atLeast"/>
        <w:ind w:firstLineChars="200" w:firstLine="400"/>
        <w:jc w:val="left"/>
        <w:rPr>
          <w:rFonts w:ascii="Arial" w:eastAsia="宋体" w:hAnsi="Arial" w:cs="Arial"/>
          <w:color w:val="2E2E2E"/>
          <w:kern w:val="0"/>
          <w:sz w:val="20"/>
          <w:szCs w:val="18"/>
        </w:rPr>
      </w:pPr>
      <w:bookmarkStart w:id="1" w:name="BOND_CODE2"/>
      <w:bookmarkEnd w:id="1"/>
      <w:r w:rsidRPr="007C3EDA">
        <w:rPr>
          <w:rFonts w:ascii="Arial" w:eastAsia="宋体" w:hAnsi="Arial" w:cs="Arial"/>
          <w:color w:val="2E2E2E"/>
          <w:kern w:val="0"/>
          <w:sz w:val="20"/>
          <w:szCs w:val="18"/>
        </w:rPr>
        <w:t> </w:t>
      </w:r>
    </w:p>
    <w:p w:rsidR="007C3EDA" w:rsidRPr="007C3EDA" w:rsidRDefault="007C3EDA" w:rsidP="007C3EDA">
      <w:pPr>
        <w:widowControl/>
        <w:tabs>
          <w:tab w:val="left" w:pos="7797"/>
        </w:tabs>
        <w:spacing w:line="360" w:lineRule="atLeast"/>
        <w:ind w:rightChars="303" w:right="636" w:firstLineChars="200" w:firstLine="400"/>
        <w:jc w:val="right"/>
        <w:rPr>
          <w:rFonts w:asciiTheme="minorEastAsia" w:hAnsiTheme="minorEastAsia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>深圳证券交易所</w:t>
      </w:r>
    </w:p>
    <w:p w:rsidR="007C3EDA" w:rsidRPr="007C3EDA" w:rsidRDefault="007C3EDA" w:rsidP="007C3EDA">
      <w:pPr>
        <w:widowControl/>
        <w:tabs>
          <w:tab w:val="left" w:pos="8080"/>
        </w:tabs>
        <w:spacing w:line="360" w:lineRule="atLeast"/>
        <w:ind w:rightChars="256" w:right="538" w:firstLineChars="200" w:firstLine="400"/>
        <w:jc w:val="right"/>
        <w:rPr>
          <w:rFonts w:asciiTheme="minorEastAsia" w:hAnsiTheme="minorEastAsia" w:cs="Arial"/>
          <w:color w:val="2E2E2E"/>
          <w:kern w:val="0"/>
          <w:sz w:val="20"/>
          <w:szCs w:val="18"/>
        </w:rPr>
      </w:pPr>
      <w:r w:rsidRPr="007C3EDA">
        <w:rPr>
          <w:rFonts w:asciiTheme="minorEastAsia" w:hAnsiTheme="minorEastAsia" w:cs="Arial"/>
          <w:color w:val="2E2E2E"/>
          <w:kern w:val="0"/>
          <w:sz w:val="20"/>
          <w:szCs w:val="18"/>
        </w:rPr>
        <w:t xml:space="preserve">2017年3月17日  </w:t>
      </w:r>
    </w:p>
    <w:p w:rsidR="007718D6" w:rsidRPr="007C3EDA" w:rsidRDefault="007718D6">
      <w:pPr>
        <w:rPr>
          <w:sz w:val="22"/>
        </w:rPr>
      </w:pPr>
    </w:p>
    <w:sectPr w:rsidR="007718D6" w:rsidRPr="007C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5"/>
    <w:rsid w:val="007718D6"/>
    <w:rsid w:val="007C3EDA"/>
    <w:rsid w:val="009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DA"/>
    <w:rPr>
      <w:strike w:val="0"/>
      <w:dstrike w:val="0"/>
      <w:color w:val="4E4E4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DA"/>
    <w:rPr>
      <w:strike w:val="0"/>
      <w:dstrike w:val="0"/>
      <w:color w:val="4E4E4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8169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se.cn/main/images/2017/03/17/20170317182125680.pdf" TargetMode="External"/><Relationship Id="rId5" Type="http://schemas.openxmlformats.org/officeDocument/2006/relationships/hyperlink" Target="http://www.szse.cn/main/images/2017/03/17/2017031718205874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2017-03-20T00:55:00Z</dcterms:created>
  <dcterms:modified xsi:type="dcterms:W3CDTF">2017-03-20T00:57:00Z</dcterms:modified>
</cp:coreProperties>
</file>