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E6" w:rsidRPr="00DF5CE6" w:rsidRDefault="002E19BF" w:rsidP="00DF5CE6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关于恢复</w:t>
      </w:r>
      <w:r w:rsidR="007E0FCC" w:rsidRPr="007E0FCC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“</w:t>
      </w:r>
      <w:r w:rsidR="00846EA6" w:rsidRPr="00846EA6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恒泰艾普</w:t>
      </w:r>
      <w:r w:rsidR="007E0FCC" w:rsidRPr="007E0FCC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”融资买入的公告</w:t>
      </w:r>
    </w:p>
    <w:p w:rsidR="00DF5CE6" w:rsidRPr="00DF5CE6" w:rsidRDefault="00846EA6" w:rsidP="00DF5CE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2019-02-14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各证券公司报送的融资融券业务数据，截至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13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收盘后，</w:t>
      </w:r>
      <w:r w:rsidR="00846EA6" w:rsidRP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恒</w:t>
      </w:r>
      <w:proofErr w:type="gramStart"/>
      <w:r w:rsidR="00846EA6" w:rsidRP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泰艾普</w:t>
      </w:r>
      <w:proofErr w:type="gramEnd"/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（证券代码：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300157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融资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余额</w:t>
      </w:r>
      <w:r w:rsidR="002E19BF">
        <w:rPr>
          <w:rFonts w:ascii="微软雅黑" w:eastAsia="微软雅黑" w:hAnsi="微软雅黑" w:cs="宋体" w:hint="eastAsia"/>
          <w:color w:val="4D4D4D"/>
          <w:kern w:val="0"/>
          <w:szCs w:val="21"/>
        </w:rPr>
        <w:t>占该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股票上市</w:t>
      </w:r>
      <w:r w:rsidR="002E19BF">
        <w:rPr>
          <w:rFonts w:ascii="微软雅黑" w:eastAsia="微软雅黑" w:hAnsi="微软雅黑" w:cs="宋体" w:hint="eastAsia"/>
          <w:color w:val="4D4D4D"/>
          <w:kern w:val="0"/>
          <w:szCs w:val="21"/>
        </w:rPr>
        <w:t>可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流通市值的</w:t>
      </w:r>
      <w:r w:rsidR="002E19BF">
        <w:rPr>
          <w:rFonts w:ascii="微软雅黑" w:eastAsia="微软雅黑" w:hAnsi="微软雅黑" w:cs="宋体" w:hint="eastAsia"/>
          <w:color w:val="4D4D4D"/>
          <w:kern w:val="0"/>
          <w:szCs w:val="21"/>
        </w:rPr>
        <w:t>比例降至20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2E19BF">
        <w:rPr>
          <w:rFonts w:ascii="微软雅黑" w:eastAsia="微软雅黑" w:hAnsi="微软雅黑" w:cs="宋体" w:hint="eastAsia"/>
          <w:color w:val="4D4D4D"/>
          <w:kern w:val="0"/>
          <w:szCs w:val="21"/>
        </w:rPr>
        <w:t>以下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。依照《深圳证券交易所融资融券交易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（2016年修订）》的规定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，本所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自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02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14</w:t>
      </w:r>
      <w:r w:rsidR="002E19BF">
        <w:rPr>
          <w:rFonts w:ascii="微软雅黑" w:eastAsia="微软雅黑" w:hAnsi="微软雅黑" w:cs="宋体" w:hint="eastAsia"/>
          <w:color w:val="4D4D4D"/>
          <w:kern w:val="0"/>
          <w:szCs w:val="21"/>
        </w:rPr>
        <w:t>日起恢复</w:t>
      </w:r>
      <w:r w:rsidR="007E0FCC">
        <w:rPr>
          <w:rFonts w:ascii="微软雅黑" w:eastAsia="微软雅黑" w:hAnsi="微软雅黑" w:cs="宋体" w:hint="eastAsia"/>
          <w:color w:val="4D4D4D"/>
          <w:kern w:val="0"/>
          <w:szCs w:val="21"/>
        </w:rPr>
        <w:t>该标的股票融资买入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。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DF5CE6" w:rsidRPr="00DF5CE6" w:rsidRDefault="00DF5CE6" w:rsidP="00DF5CE6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846EA6">
        <w:rPr>
          <w:rFonts w:ascii="微软雅黑" w:eastAsia="微软雅黑" w:hAnsi="微软雅黑" w:cs="宋体" w:hint="eastAsia"/>
          <w:color w:val="4D4D4D"/>
          <w:kern w:val="0"/>
          <w:szCs w:val="21"/>
        </w:rPr>
        <w:t>14</w:t>
      </w:r>
      <w:bookmarkStart w:id="0" w:name="_GoBack"/>
      <w:bookmarkEnd w:id="0"/>
      <w:r w:rsidRPr="00DF5CE6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6457A3" w:rsidRDefault="006457A3"/>
    <w:sectPr w:rsidR="006457A3" w:rsidSect="0064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56" w:rsidRDefault="00913D56" w:rsidP="00DF5CE6">
      <w:r>
        <w:separator/>
      </w:r>
    </w:p>
  </w:endnote>
  <w:endnote w:type="continuationSeparator" w:id="0">
    <w:p w:rsidR="00913D56" w:rsidRDefault="00913D56" w:rsidP="00D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56" w:rsidRDefault="00913D56" w:rsidP="00DF5CE6">
      <w:r>
        <w:separator/>
      </w:r>
    </w:p>
  </w:footnote>
  <w:footnote w:type="continuationSeparator" w:id="0">
    <w:p w:rsidR="00913D56" w:rsidRDefault="00913D56" w:rsidP="00DF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CE6"/>
    <w:rsid w:val="002E19BF"/>
    <w:rsid w:val="005C646D"/>
    <w:rsid w:val="006457A3"/>
    <w:rsid w:val="007E0FCC"/>
    <w:rsid w:val="00846EA6"/>
    <w:rsid w:val="00913D56"/>
    <w:rsid w:val="00AA5593"/>
    <w:rsid w:val="00D4749C"/>
    <w:rsid w:val="00D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F5C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CE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F5CE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DF5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976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8</cp:revision>
  <dcterms:created xsi:type="dcterms:W3CDTF">2018-10-15T01:11:00Z</dcterms:created>
  <dcterms:modified xsi:type="dcterms:W3CDTF">2019-02-14T01:10:00Z</dcterms:modified>
</cp:coreProperties>
</file>