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3AA" w:rsidRPr="007343AA" w:rsidRDefault="007343AA" w:rsidP="007343AA">
      <w:pPr>
        <w:widowControl/>
        <w:wordWrap w:val="0"/>
        <w:spacing w:before="136" w:after="68"/>
        <w:jc w:val="center"/>
        <w:outlineLvl w:val="1"/>
        <w:rPr>
          <w:rFonts w:ascii="inherit" w:eastAsia="宋体" w:hAnsi="inherit" w:cs="宋体"/>
          <w:color w:val="333333"/>
          <w:kern w:val="0"/>
          <w:sz w:val="22"/>
        </w:rPr>
      </w:pPr>
      <w:r w:rsidRPr="007343AA">
        <w:rPr>
          <w:rFonts w:ascii="inherit" w:eastAsia="宋体" w:hAnsi="inherit" w:cs="宋体"/>
          <w:color w:val="333333"/>
          <w:kern w:val="0"/>
          <w:sz w:val="22"/>
        </w:rPr>
        <w:t>关于融资融券标的证券</w:t>
      </w:r>
      <w:r w:rsidRPr="007343AA">
        <w:rPr>
          <w:rFonts w:ascii="inherit" w:eastAsia="宋体" w:hAnsi="inherit" w:cs="宋体"/>
          <w:color w:val="333333"/>
          <w:kern w:val="0"/>
          <w:sz w:val="22"/>
        </w:rPr>
        <w:t>2019</w:t>
      </w:r>
      <w:r w:rsidRPr="007343AA">
        <w:rPr>
          <w:rFonts w:ascii="inherit" w:eastAsia="宋体" w:hAnsi="inherit" w:cs="宋体"/>
          <w:color w:val="333333"/>
          <w:kern w:val="0"/>
          <w:sz w:val="22"/>
        </w:rPr>
        <w:t>年第二季度定期调整有关事项的通知</w:t>
      </w:r>
    </w:p>
    <w:p w:rsidR="007343AA" w:rsidRPr="007343AA" w:rsidRDefault="007343AA" w:rsidP="007343AA">
      <w:pPr>
        <w:widowControl/>
        <w:jc w:val="center"/>
        <w:rPr>
          <w:rFonts w:ascii="宋体" w:eastAsia="宋体" w:hAnsi="宋体" w:cs="宋体"/>
          <w:color w:val="999999"/>
          <w:kern w:val="0"/>
          <w:sz w:val="10"/>
          <w:szCs w:val="10"/>
        </w:rPr>
      </w:pPr>
      <w:r w:rsidRPr="007343AA">
        <w:rPr>
          <w:rFonts w:ascii="宋体" w:eastAsia="宋体" w:hAnsi="宋体" w:cs="宋体" w:hint="eastAsia"/>
          <w:color w:val="999999"/>
          <w:kern w:val="0"/>
          <w:sz w:val="10"/>
          <w:szCs w:val="10"/>
        </w:rPr>
        <w:t>时间：2019-07-05</w:t>
      </w:r>
    </w:p>
    <w:p w:rsidR="007343AA" w:rsidRPr="007343AA" w:rsidRDefault="007343AA" w:rsidP="007343AA">
      <w:pPr>
        <w:widowControl/>
        <w:wordWrap w:val="0"/>
        <w:spacing w:line="191" w:lineRule="atLeast"/>
        <w:jc w:val="left"/>
        <w:rPr>
          <w:rFonts w:ascii="宋体" w:eastAsia="宋体" w:hAnsi="宋体" w:cs="宋体" w:hint="eastAsia"/>
          <w:color w:val="333333"/>
          <w:kern w:val="0"/>
          <w:sz w:val="24"/>
          <w:szCs w:val="24"/>
        </w:rPr>
      </w:pPr>
      <w:r w:rsidRPr="007343AA">
        <w:rPr>
          <w:rFonts w:ascii="宋体" w:eastAsia="宋体" w:hAnsi="宋体" w:cs="宋体" w:hint="eastAsia"/>
          <w:color w:val="333333"/>
          <w:kern w:val="0"/>
          <w:sz w:val="24"/>
          <w:szCs w:val="24"/>
        </w:rPr>
        <w:t>各会员单位：</w:t>
      </w:r>
    </w:p>
    <w:p w:rsidR="007343AA" w:rsidRPr="007343AA" w:rsidRDefault="007343AA" w:rsidP="007343AA">
      <w:pPr>
        <w:widowControl/>
        <w:wordWrap w:val="0"/>
        <w:spacing w:line="218" w:lineRule="atLeast"/>
        <w:ind w:firstLine="480"/>
        <w:jc w:val="left"/>
        <w:rPr>
          <w:rFonts w:ascii="宋体" w:eastAsia="宋体" w:hAnsi="宋体" w:cs="宋体"/>
          <w:color w:val="333333"/>
          <w:kern w:val="0"/>
          <w:sz w:val="11"/>
          <w:szCs w:val="11"/>
        </w:rPr>
      </w:pPr>
      <w:r w:rsidRPr="007343AA">
        <w:rPr>
          <w:rFonts w:ascii="宋体" w:eastAsia="宋体" w:hAnsi="宋体" w:cs="宋体" w:hint="eastAsia"/>
          <w:color w:val="333333"/>
          <w:kern w:val="0"/>
          <w:sz w:val="24"/>
          <w:szCs w:val="24"/>
        </w:rPr>
        <w:t>为促进融资融券业务发展，优化标的证券结构，根据《深圳证券交易所融资融券交易实施细则（2016年修订）》（以下简称《实施细则》）的相关规定及融资融券标的证券定期评估调整机制，现将2019年第二季度融资融券标的证券定期调整的有关事项通知如下：</w:t>
      </w:r>
    </w:p>
    <w:p w:rsidR="007343AA" w:rsidRPr="007343AA" w:rsidRDefault="007343AA" w:rsidP="007343AA">
      <w:pPr>
        <w:widowControl/>
        <w:wordWrap w:val="0"/>
        <w:spacing w:line="218" w:lineRule="atLeast"/>
        <w:ind w:firstLine="480"/>
        <w:jc w:val="left"/>
        <w:rPr>
          <w:rFonts w:ascii="宋体" w:eastAsia="宋体" w:hAnsi="宋体" w:cs="宋体" w:hint="eastAsia"/>
          <w:color w:val="333333"/>
          <w:kern w:val="0"/>
          <w:sz w:val="11"/>
          <w:szCs w:val="11"/>
        </w:rPr>
      </w:pPr>
      <w:r w:rsidRPr="007343AA">
        <w:rPr>
          <w:rFonts w:ascii="宋体" w:eastAsia="宋体" w:hAnsi="宋体" w:cs="宋体" w:hint="eastAsia"/>
          <w:color w:val="333333"/>
          <w:kern w:val="0"/>
          <w:sz w:val="24"/>
          <w:szCs w:val="24"/>
        </w:rPr>
        <w:t>一、本次融资融券标的股票范围的调整以优先保留现有标的股票为基本原则，综合考虑市盈率、上市公司及市场情况等因素，并依据《实施细则》第3.2条规定，按照加权评价指标从大到小排序选取新增调入的标的股票，调整后本所标的股票数量为425只，具体名单见附件1。加权评价指标的计算方式为：</w:t>
      </w:r>
    </w:p>
    <w:p w:rsidR="007343AA" w:rsidRPr="007343AA" w:rsidRDefault="007343AA" w:rsidP="007343AA">
      <w:pPr>
        <w:widowControl/>
        <w:wordWrap w:val="0"/>
        <w:spacing w:line="218" w:lineRule="atLeast"/>
        <w:ind w:firstLine="480"/>
        <w:jc w:val="left"/>
        <w:rPr>
          <w:rFonts w:ascii="宋体" w:eastAsia="宋体" w:hAnsi="宋体" w:cs="宋体" w:hint="eastAsia"/>
          <w:color w:val="333333"/>
          <w:kern w:val="0"/>
          <w:sz w:val="11"/>
          <w:szCs w:val="11"/>
        </w:rPr>
      </w:pPr>
      <w:r w:rsidRPr="007343AA">
        <w:rPr>
          <w:rFonts w:ascii="宋体" w:eastAsia="宋体" w:hAnsi="宋体" w:cs="宋体" w:hint="eastAsia"/>
          <w:color w:val="333333"/>
          <w:kern w:val="0"/>
          <w:sz w:val="24"/>
          <w:szCs w:val="24"/>
        </w:rPr>
        <w:t>加权评价指标=2×（一定期间内该股票平均流通市值/一定期间内深市A股平均流通市值）+（一定期间内该股票平均成交金额/一定期间内深市A股平均成交金额）</w:t>
      </w:r>
    </w:p>
    <w:p w:rsidR="007343AA" w:rsidRPr="007343AA" w:rsidRDefault="007343AA" w:rsidP="007343AA">
      <w:pPr>
        <w:widowControl/>
        <w:wordWrap w:val="0"/>
        <w:spacing w:line="218" w:lineRule="atLeast"/>
        <w:ind w:firstLine="480"/>
        <w:jc w:val="left"/>
        <w:rPr>
          <w:rFonts w:ascii="宋体" w:eastAsia="宋体" w:hAnsi="宋体" w:cs="宋体" w:hint="eastAsia"/>
          <w:color w:val="333333"/>
          <w:kern w:val="0"/>
          <w:sz w:val="11"/>
          <w:szCs w:val="11"/>
        </w:rPr>
      </w:pPr>
      <w:r w:rsidRPr="007343AA">
        <w:rPr>
          <w:rFonts w:ascii="宋体" w:eastAsia="宋体" w:hAnsi="宋体" w:cs="宋体" w:hint="eastAsia"/>
          <w:color w:val="333333"/>
          <w:kern w:val="0"/>
          <w:sz w:val="24"/>
          <w:szCs w:val="24"/>
        </w:rPr>
        <w:t>二、本次融资融券标的交易型开放式基金范围的调整依据《实施细则》第3.3条规定，并综合考虑基金类型等因素进行，调整后本所融资融券标的交易型开放式基金的数量为20只，具体名单见附件2。</w:t>
      </w:r>
    </w:p>
    <w:p w:rsidR="007343AA" w:rsidRPr="007343AA" w:rsidRDefault="007343AA" w:rsidP="007343AA">
      <w:pPr>
        <w:widowControl/>
        <w:wordWrap w:val="0"/>
        <w:spacing w:line="218" w:lineRule="atLeast"/>
        <w:ind w:firstLine="480"/>
        <w:jc w:val="left"/>
        <w:rPr>
          <w:rFonts w:ascii="宋体" w:eastAsia="宋体" w:hAnsi="宋体" w:cs="宋体" w:hint="eastAsia"/>
          <w:color w:val="333333"/>
          <w:kern w:val="0"/>
          <w:sz w:val="11"/>
          <w:szCs w:val="11"/>
        </w:rPr>
      </w:pPr>
      <w:r w:rsidRPr="007343AA">
        <w:rPr>
          <w:rFonts w:ascii="宋体" w:eastAsia="宋体" w:hAnsi="宋体" w:cs="宋体" w:hint="eastAsia"/>
          <w:color w:val="333333"/>
          <w:kern w:val="0"/>
          <w:sz w:val="24"/>
          <w:szCs w:val="24"/>
        </w:rPr>
        <w:t>三、各会员单位应当高度重视，认真做好本次融资融券标的证券范围调整的业务和技术系统准备，确保相关工作顺利开展。</w:t>
      </w:r>
    </w:p>
    <w:p w:rsidR="007343AA" w:rsidRPr="007343AA" w:rsidRDefault="007343AA" w:rsidP="007343AA">
      <w:pPr>
        <w:widowControl/>
        <w:wordWrap w:val="0"/>
        <w:spacing w:line="218" w:lineRule="atLeast"/>
        <w:ind w:firstLine="480"/>
        <w:jc w:val="left"/>
        <w:rPr>
          <w:rFonts w:ascii="宋体" w:eastAsia="宋体" w:hAnsi="宋体" w:cs="宋体" w:hint="eastAsia"/>
          <w:color w:val="333333"/>
          <w:kern w:val="0"/>
          <w:sz w:val="11"/>
          <w:szCs w:val="11"/>
        </w:rPr>
      </w:pPr>
      <w:r w:rsidRPr="007343AA">
        <w:rPr>
          <w:rFonts w:ascii="宋体" w:eastAsia="宋体" w:hAnsi="宋体" w:cs="宋体" w:hint="eastAsia"/>
          <w:color w:val="333333"/>
          <w:kern w:val="0"/>
          <w:sz w:val="24"/>
          <w:szCs w:val="24"/>
        </w:rPr>
        <w:t>四、各会员单位应当持续优化融资融券风险监控指标，根据上市公司财务、规范运作及标的证券交易等情况，加强对标的证券的风险识别及差异化管理，采取相应措施防范业务风险，切实保护投资者合法权益。</w:t>
      </w:r>
    </w:p>
    <w:p w:rsidR="007343AA" w:rsidRPr="007343AA" w:rsidRDefault="007343AA" w:rsidP="007343AA">
      <w:pPr>
        <w:widowControl/>
        <w:wordWrap w:val="0"/>
        <w:spacing w:line="218" w:lineRule="atLeast"/>
        <w:ind w:firstLine="480"/>
        <w:jc w:val="left"/>
        <w:rPr>
          <w:rFonts w:ascii="宋体" w:eastAsia="宋体" w:hAnsi="宋体" w:cs="宋体" w:hint="eastAsia"/>
          <w:color w:val="333333"/>
          <w:kern w:val="0"/>
          <w:sz w:val="11"/>
          <w:szCs w:val="11"/>
        </w:rPr>
      </w:pPr>
      <w:r w:rsidRPr="007343AA">
        <w:rPr>
          <w:rFonts w:ascii="宋体" w:eastAsia="宋体" w:hAnsi="宋体" w:cs="宋体" w:hint="eastAsia"/>
          <w:color w:val="333333"/>
          <w:kern w:val="0"/>
          <w:sz w:val="24"/>
          <w:szCs w:val="24"/>
        </w:rPr>
        <w:t>五、本通知自2019年7月8日起施行。</w:t>
      </w:r>
    </w:p>
    <w:p w:rsidR="007343AA" w:rsidRPr="007343AA" w:rsidRDefault="007343AA" w:rsidP="007343AA">
      <w:pPr>
        <w:widowControl/>
        <w:wordWrap w:val="0"/>
        <w:spacing w:line="218" w:lineRule="atLeast"/>
        <w:ind w:firstLine="480"/>
        <w:jc w:val="left"/>
        <w:rPr>
          <w:rFonts w:ascii="宋体" w:eastAsia="宋体" w:hAnsi="宋体" w:cs="宋体" w:hint="eastAsia"/>
          <w:color w:val="333333"/>
          <w:kern w:val="0"/>
          <w:sz w:val="11"/>
          <w:szCs w:val="11"/>
        </w:rPr>
      </w:pPr>
      <w:r w:rsidRPr="007343AA">
        <w:rPr>
          <w:rFonts w:ascii="宋体" w:eastAsia="宋体" w:hAnsi="宋体" w:cs="宋体" w:hint="eastAsia"/>
          <w:color w:val="333333"/>
          <w:kern w:val="0"/>
          <w:sz w:val="24"/>
          <w:szCs w:val="24"/>
        </w:rPr>
        <w:t>特此通知</w:t>
      </w:r>
    </w:p>
    <w:p w:rsidR="007343AA" w:rsidRPr="007343AA" w:rsidRDefault="007343AA" w:rsidP="007343AA">
      <w:pPr>
        <w:widowControl/>
        <w:wordWrap w:val="0"/>
        <w:spacing w:line="218" w:lineRule="atLeast"/>
        <w:ind w:firstLine="480"/>
        <w:jc w:val="left"/>
        <w:rPr>
          <w:rFonts w:ascii="宋体" w:eastAsia="宋体" w:hAnsi="宋体" w:cs="宋体" w:hint="eastAsia"/>
          <w:color w:val="333333"/>
          <w:kern w:val="0"/>
          <w:sz w:val="11"/>
          <w:szCs w:val="11"/>
        </w:rPr>
      </w:pPr>
      <w:r w:rsidRPr="007343AA">
        <w:rPr>
          <w:rFonts w:ascii="宋体" w:eastAsia="宋体" w:hAnsi="宋体" w:cs="宋体" w:hint="eastAsia"/>
          <w:color w:val="333333"/>
          <w:kern w:val="0"/>
          <w:sz w:val="24"/>
          <w:szCs w:val="24"/>
        </w:rPr>
        <w:t>附件：1．</w:t>
      </w:r>
      <w:hyperlink r:id="rId6" w:tgtFrame="_blank" w:history="1">
        <w:r w:rsidRPr="007343AA">
          <w:rPr>
            <w:rFonts w:ascii="宋体" w:eastAsia="宋体" w:hAnsi="宋体" w:cs="宋体" w:hint="eastAsia"/>
            <w:color w:val="337AB7"/>
            <w:kern w:val="0"/>
            <w:sz w:val="24"/>
            <w:szCs w:val="24"/>
          </w:rPr>
          <w:t>融资融券标的股票名单</w:t>
        </w:r>
      </w:hyperlink>
    </w:p>
    <w:p w:rsidR="007343AA" w:rsidRPr="007343AA" w:rsidRDefault="007343AA" w:rsidP="007343AA">
      <w:pPr>
        <w:widowControl/>
        <w:wordWrap w:val="0"/>
        <w:spacing w:line="218" w:lineRule="atLeast"/>
        <w:ind w:firstLine="480"/>
        <w:jc w:val="left"/>
        <w:rPr>
          <w:rFonts w:ascii="宋体" w:eastAsia="宋体" w:hAnsi="宋体" w:cs="宋体" w:hint="eastAsia"/>
          <w:color w:val="333333"/>
          <w:kern w:val="0"/>
          <w:sz w:val="11"/>
          <w:szCs w:val="11"/>
        </w:rPr>
      </w:pPr>
      <w:r w:rsidRPr="007343AA">
        <w:rPr>
          <w:rFonts w:ascii="宋体" w:eastAsia="宋体" w:hAnsi="宋体" w:cs="宋体" w:hint="eastAsia"/>
          <w:color w:val="333333"/>
          <w:kern w:val="0"/>
          <w:sz w:val="24"/>
          <w:szCs w:val="24"/>
        </w:rPr>
        <w:t>    2．</w:t>
      </w:r>
      <w:hyperlink r:id="rId7" w:tgtFrame="_blank" w:history="1">
        <w:r w:rsidRPr="007343AA">
          <w:rPr>
            <w:rFonts w:ascii="宋体" w:eastAsia="宋体" w:hAnsi="宋体" w:cs="宋体" w:hint="eastAsia"/>
            <w:color w:val="337AB7"/>
            <w:kern w:val="0"/>
            <w:sz w:val="24"/>
            <w:szCs w:val="24"/>
          </w:rPr>
          <w:t>融资融券标的交易型开放式基金名单</w:t>
        </w:r>
      </w:hyperlink>
    </w:p>
    <w:p w:rsidR="007343AA" w:rsidRPr="007343AA" w:rsidRDefault="007343AA" w:rsidP="007343AA">
      <w:pPr>
        <w:widowControl/>
        <w:wordWrap w:val="0"/>
        <w:spacing w:line="191" w:lineRule="atLeast"/>
        <w:ind w:firstLine="600"/>
        <w:jc w:val="left"/>
        <w:rPr>
          <w:rFonts w:ascii="宋体" w:eastAsia="宋体" w:hAnsi="宋体" w:cs="宋体" w:hint="eastAsia"/>
          <w:color w:val="333333"/>
          <w:kern w:val="0"/>
          <w:sz w:val="10"/>
          <w:szCs w:val="10"/>
        </w:rPr>
      </w:pPr>
      <w:r w:rsidRPr="007343AA">
        <w:rPr>
          <w:rFonts w:ascii="宋体" w:eastAsia="宋体" w:hAnsi="宋体" w:cs="宋体" w:hint="eastAsia"/>
          <w:color w:val="333333"/>
          <w:kern w:val="0"/>
          <w:sz w:val="24"/>
          <w:szCs w:val="24"/>
        </w:rPr>
        <w:t> </w:t>
      </w:r>
    </w:p>
    <w:p w:rsidR="007343AA" w:rsidRPr="007343AA" w:rsidRDefault="007343AA" w:rsidP="007343AA">
      <w:pPr>
        <w:widowControl/>
        <w:wordWrap w:val="0"/>
        <w:spacing w:line="191" w:lineRule="atLeast"/>
        <w:ind w:firstLine="600"/>
        <w:jc w:val="left"/>
        <w:rPr>
          <w:rFonts w:ascii="宋体" w:eastAsia="宋体" w:hAnsi="宋体" w:cs="宋体" w:hint="eastAsia"/>
          <w:color w:val="333333"/>
          <w:kern w:val="0"/>
          <w:sz w:val="10"/>
          <w:szCs w:val="10"/>
        </w:rPr>
      </w:pPr>
      <w:r w:rsidRPr="007343AA">
        <w:rPr>
          <w:rFonts w:ascii="宋体" w:eastAsia="宋体" w:hAnsi="宋体" w:cs="宋体" w:hint="eastAsia"/>
          <w:color w:val="333333"/>
          <w:kern w:val="0"/>
          <w:sz w:val="24"/>
          <w:szCs w:val="24"/>
        </w:rPr>
        <w:t> </w:t>
      </w:r>
    </w:p>
    <w:p w:rsidR="007343AA" w:rsidRPr="007343AA" w:rsidRDefault="007343AA" w:rsidP="007343AA">
      <w:pPr>
        <w:widowControl/>
        <w:wordWrap w:val="0"/>
        <w:spacing w:line="191" w:lineRule="atLeast"/>
        <w:ind w:right="636" w:firstLine="3780"/>
        <w:jc w:val="right"/>
        <w:rPr>
          <w:rFonts w:ascii="宋体" w:eastAsia="宋体" w:hAnsi="宋体" w:cs="宋体" w:hint="eastAsia"/>
          <w:color w:val="333333"/>
          <w:kern w:val="0"/>
          <w:sz w:val="10"/>
          <w:szCs w:val="10"/>
        </w:rPr>
      </w:pPr>
      <w:bookmarkStart w:id="0" w:name="BUYBACK_RATE"/>
      <w:bookmarkStart w:id="1" w:name="BOND_CODE2"/>
      <w:bookmarkEnd w:id="0"/>
      <w:bookmarkEnd w:id="1"/>
      <w:r w:rsidRPr="007343AA">
        <w:rPr>
          <w:rFonts w:ascii="宋体" w:eastAsia="宋体" w:hAnsi="宋体" w:cs="宋体" w:hint="eastAsia"/>
          <w:color w:val="333333"/>
          <w:kern w:val="0"/>
          <w:sz w:val="24"/>
          <w:szCs w:val="24"/>
        </w:rPr>
        <w:t>深圳证券交易所</w:t>
      </w:r>
    </w:p>
    <w:p w:rsidR="007343AA" w:rsidRPr="007343AA" w:rsidRDefault="007343AA" w:rsidP="007343AA">
      <w:pPr>
        <w:widowControl/>
        <w:wordWrap w:val="0"/>
        <w:spacing w:line="191" w:lineRule="atLeast"/>
        <w:ind w:right="538" w:firstLine="3780"/>
        <w:jc w:val="right"/>
        <w:rPr>
          <w:rFonts w:ascii="宋体" w:eastAsia="宋体" w:hAnsi="宋体" w:cs="宋体" w:hint="eastAsia"/>
          <w:color w:val="333333"/>
          <w:kern w:val="0"/>
          <w:sz w:val="10"/>
          <w:szCs w:val="10"/>
        </w:rPr>
      </w:pPr>
      <w:r w:rsidRPr="007343AA">
        <w:rPr>
          <w:rFonts w:ascii="宋体" w:eastAsia="宋体" w:hAnsi="宋体" w:cs="宋体" w:hint="eastAsia"/>
          <w:color w:val="333333"/>
          <w:kern w:val="0"/>
          <w:sz w:val="24"/>
          <w:szCs w:val="24"/>
        </w:rPr>
        <w:t>2019年7月5日</w:t>
      </w:r>
    </w:p>
    <w:p w:rsidR="00634E77" w:rsidRPr="007343AA" w:rsidRDefault="00634E77"/>
    <w:sectPr w:rsidR="00634E77" w:rsidRPr="007343AA" w:rsidSect="00634E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3E5" w:rsidRDefault="005E73E5" w:rsidP="007343AA">
      <w:r>
        <w:separator/>
      </w:r>
    </w:p>
  </w:endnote>
  <w:endnote w:type="continuationSeparator" w:id="0">
    <w:p w:rsidR="005E73E5" w:rsidRDefault="005E73E5" w:rsidP="007343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3E5" w:rsidRDefault="005E73E5" w:rsidP="007343AA">
      <w:r>
        <w:separator/>
      </w:r>
    </w:p>
  </w:footnote>
  <w:footnote w:type="continuationSeparator" w:id="0">
    <w:p w:rsidR="005E73E5" w:rsidRDefault="005E73E5" w:rsidP="007343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43AA"/>
    <w:rsid w:val="005E73E5"/>
    <w:rsid w:val="00634E77"/>
    <w:rsid w:val="007343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E77"/>
    <w:pPr>
      <w:widowControl w:val="0"/>
      <w:jc w:val="both"/>
    </w:pPr>
  </w:style>
  <w:style w:type="paragraph" w:styleId="2">
    <w:name w:val="heading 2"/>
    <w:basedOn w:val="a"/>
    <w:link w:val="2Char"/>
    <w:uiPriority w:val="9"/>
    <w:qFormat/>
    <w:rsid w:val="007343A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43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343AA"/>
    <w:rPr>
      <w:sz w:val="18"/>
      <w:szCs w:val="18"/>
    </w:rPr>
  </w:style>
  <w:style w:type="paragraph" w:styleId="a4">
    <w:name w:val="footer"/>
    <w:basedOn w:val="a"/>
    <w:link w:val="Char0"/>
    <w:uiPriority w:val="99"/>
    <w:semiHidden/>
    <w:unhideWhenUsed/>
    <w:rsid w:val="007343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343AA"/>
    <w:rPr>
      <w:sz w:val="18"/>
      <w:szCs w:val="18"/>
    </w:rPr>
  </w:style>
  <w:style w:type="character" w:customStyle="1" w:styleId="2Char">
    <w:name w:val="标题 2 Char"/>
    <w:basedOn w:val="a0"/>
    <w:link w:val="2"/>
    <w:uiPriority w:val="9"/>
    <w:rsid w:val="007343AA"/>
    <w:rPr>
      <w:rFonts w:ascii="宋体" w:eastAsia="宋体" w:hAnsi="宋体" w:cs="宋体"/>
      <w:b/>
      <w:bCs/>
      <w:kern w:val="0"/>
      <w:sz w:val="36"/>
      <w:szCs w:val="36"/>
    </w:rPr>
  </w:style>
  <w:style w:type="paragraph" w:styleId="a5">
    <w:name w:val="Plain Text"/>
    <w:basedOn w:val="a"/>
    <w:link w:val="Char1"/>
    <w:uiPriority w:val="99"/>
    <w:semiHidden/>
    <w:unhideWhenUsed/>
    <w:rsid w:val="007343AA"/>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
    <w:basedOn w:val="a0"/>
    <w:link w:val="a5"/>
    <w:uiPriority w:val="99"/>
    <w:semiHidden/>
    <w:rsid w:val="007343AA"/>
    <w:rPr>
      <w:rFonts w:ascii="宋体" w:eastAsia="宋体" w:hAnsi="宋体" w:cs="宋体"/>
      <w:kern w:val="0"/>
      <w:sz w:val="24"/>
      <w:szCs w:val="24"/>
    </w:rPr>
  </w:style>
  <w:style w:type="character" w:styleId="a6">
    <w:name w:val="Hyperlink"/>
    <w:basedOn w:val="a0"/>
    <w:uiPriority w:val="99"/>
    <w:semiHidden/>
    <w:unhideWhenUsed/>
    <w:rsid w:val="007343AA"/>
    <w:rPr>
      <w:color w:val="0000FF"/>
      <w:u w:val="single"/>
    </w:rPr>
  </w:style>
</w:styles>
</file>

<file path=word/webSettings.xml><?xml version="1.0" encoding="utf-8"?>
<w:webSettings xmlns:r="http://schemas.openxmlformats.org/officeDocument/2006/relationships" xmlns:w="http://schemas.openxmlformats.org/wordprocessingml/2006/main">
  <w:divs>
    <w:div w:id="1504198172">
      <w:bodyDiv w:val="1"/>
      <w:marLeft w:val="0"/>
      <w:marRight w:val="0"/>
      <w:marTop w:val="0"/>
      <w:marBottom w:val="0"/>
      <w:divBdr>
        <w:top w:val="none" w:sz="0" w:space="0" w:color="auto"/>
        <w:left w:val="none" w:sz="0" w:space="0" w:color="auto"/>
        <w:bottom w:val="none" w:sz="0" w:space="0" w:color="auto"/>
        <w:right w:val="none" w:sz="0" w:space="0" w:color="auto"/>
      </w:divBdr>
    </w:div>
    <w:div w:id="1861041434">
      <w:bodyDiv w:val="1"/>
      <w:marLeft w:val="0"/>
      <w:marRight w:val="0"/>
      <w:marTop w:val="0"/>
      <w:marBottom w:val="0"/>
      <w:divBdr>
        <w:top w:val="none" w:sz="0" w:space="0" w:color="auto"/>
        <w:left w:val="none" w:sz="0" w:space="0" w:color="auto"/>
        <w:bottom w:val="none" w:sz="0" w:space="0" w:color="auto"/>
        <w:right w:val="none" w:sz="0" w:space="0" w:color="auto"/>
      </w:divBdr>
      <w:divsChild>
        <w:div w:id="2141070252">
          <w:marLeft w:val="0"/>
          <w:marRight w:val="0"/>
          <w:marTop w:val="0"/>
          <w:marBottom w:val="0"/>
          <w:divBdr>
            <w:top w:val="none" w:sz="0" w:space="0" w:color="auto"/>
            <w:left w:val="none" w:sz="0" w:space="0" w:color="auto"/>
            <w:bottom w:val="none" w:sz="0" w:space="0" w:color="auto"/>
            <w:right w:val="none" w:sz="0" w:space="0" w:color="auto"/>
          </w:divBdr>
          <w:divsChild>
            <w:div w:id="1276206777">
              <w:marLeft w:val="0"/>
              <w:marRight w:val="0"/>
              <w:marTop w:val="205"/>
              <w:marBottom w:val="0"/>
              <w:divBdr>
                <w:top w:val="none" w:sz="0" w:space="0" w:color="auto"/>
                <w:left w:val="none" w:sz="0" w:space="0" w:color="auto"/>
                <w:bottom w:val="none" w:sz="0" w:space="0" w:color="auto"/>
                <w:right w:val="none" w:sz="0" w:space="0" w:color="auto"/>
              </w:divBdr>
            </w:div>
          </w:divsChild>
        </w:div>
        <w:div w:id="101340405">
          <w:marLeft w:val="0"/>
          <w:marRight w:val="0"/>
          <w:marTop w:val="0"/>
          <w:marBottom w:val="13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s.static.szse.cn/www/disclosure/margin/business/W020190705597666435408.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static.szse.cn/www/disclosure/margin/business/W020190705597666421127.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798</Characters>
  <Application>Microsoft Office Word</Application>
  <DocSecurity>0</DocSecurity>
  <Lines>6</Lines>
  <Paragraphs>1</Paragraphs>
  <ScaleCrop>false</ScaleCrop>
  <Company>Hewlett-Packard Company</Company>
  <LinksUpToDate>false</LinksUpToDate>
  <CharactersWithSpaces>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3</cp:revision>
  <dcterms:created xsi:type="dcterms:W3CDTF">2019-07-08T01:30:00Z</dcterms:created>
  <dcterms:modified xsi:type="dcterms:W3CDTF">2019-07-08T01:30:00Z</dcterms:modified>
</cp:coreProperties>
</file>