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48" w:rsidRPr="00BC2648" w:rsidRDefault="00BC2648" w:rsidP="00BC2648">
      <w:pPr>
        <w:widowControl/>
        <w:wordWrap w:val="0"/>
        <w:spacing w:before="300" w:after="150"/>
        <w:jc w:val="center"/>
        <w:outlineLvl w:val="1"/>
        <w:rPr>
          <w:rFonts w:ascii="inherit" w:eastAsia="宋体" w:hAnsi="inherit" w:cs="宋体"/>
          <w:color w:val="333333"/>
          <w:kern w:val="0"/>
          <w:sz w:val="48"/>
          <w:szCs w:val="48"/>
        </w:rPr>
      </w:pPr>
      <w:r w:rsidRPr="00BC2648">
        <w:rPr>
          <w:rFonts w:ascii="inherit" w:eastAsia="宋体" w:hAnsi="inherit" w:cs="宋体"/>
          <w:color w:val="333333"/>
          <w:kern w:val="0"/>
          <w:sz w:val="48"/>
          <w:szCs w:val="48"/>
        </w:rPr>
        <w:t>关于扩大融资融券标的股票范围的通知</w:t>
      </w:r>
    </w:p>
    <w:p w:rsidR="00BC2648" w:rsidRPr="00BC2648" w:rsidRDefault="00BC2648" w:rsidP="00BC2648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999999"/>
          <w:kern w:val="0"/>
          <w:szCs w:val="21"/>
        </w:rPr>
        <w:t>时间：2019-08-09</w:t>
      </w:r>
    </w:p>
    <w:p w:rsidR="00BC2648" w:rsidRPr="00BC2648" w:rsidRDefault="00BC2648" w:rsidP="00BC2648">
      <w:pPr>
        <w:widowControl/>
        <w:wordWrap w:val="0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深证会〔2019〕288号</w:t>
      </w:r>
    </w:p>
    <w:p w:rsidR="00BC2648" w:rsidRPr="00BC2648" w:rsidRDefault="00BC2648" w:rsidP="00BC2648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C2648" w:rsidRPr="00BC2648" w:rsidRDefault="00BC2648" w:rsidP="00BC2648">
      <w:pPr>
        <w:widowControl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各市场参与人：</w:t>
      </w:r>
    </w:p>
    <w:p w:rsidR="00BC2648" w:rsidRPr="00BC2648" w:rsidRDefault="00BC2648" w:rsidP="00BC2648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为促进融资融券业务健康长远发展，经中国证监会批准，本所决定扩大融资融券标的股票范围，由现有425只扩大到800只。现将有关事项通知如下：</w:t>
      </w:r>
    </w:p>
    <w:p w:rsidR="00BC2648" w:rsidRPr="00BC2648" w:rsidRDefault="00BC2648" w:rsidP="00BC2648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本次扩大标的股票范围的基本原则为优先保留现有标的，并对符合《深圳证券交易所融资融券交易实施细则》（简称《实施细则》）第3.2条等相关规定的本所上市A股股票，按照加权评价指标从大到小排序，选取375只股票作为新增标的股票，具体名单见附件。</w:t>
      </w:r>
    </w:p>
    <w:p w:rsidR="00BC2648" w:rsidRPr="00BC2648" w:rsidRDefault="00BC2648" w:rsidP="00BC2648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加权评价指标的计算方式为：加权评价指标=2×（一定期间内该股票平均流通市值/一定期间内深市A股平均流通市值）+（一定期间内该股票平均成交金额/一定期间内深市A股平均成交金额）。</w:t>
      </w:r>
    </w:p>
    <w:p w:rsidR="00BC2648" w:rsidRPr="00BC2648" w:rsidRDefault="00BC2648" w:rsidP="00BC2648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二、各会员单位应当高度重视，认真做好此次扩大标的股票范围的业务和技术系统准备，保障扩大标的股票范围相关工作顺利开展。</w:t>
      </w:r>
    </w:p>
    <w:p w:rsidR="00BC2648" w:rsidRPr="00BC2648" w:rsidRDefault="00BC2648" w:rsidP="00BC2648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各会员单位应当严格按照《证券公司融资融券业务管理办法》及《实施细则》要求，建立健全标的证券管理机制，根据市场情况、客户和自身风险承受能力，结合上市公司财务、规范运作及标的证券交易等情况，对标的证券范围进行动态调整和差异化控制，采取相应措施防范业务风险。</w:t>
      </w:r>
    </w:p>
    <w:p w:rsidR="00BC2648" w:rsidRPr="00BC2648" w:rsidRDefault="00BC2648" w:rsidP="00BC2648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四、本通知自2019年8月19日起施行。</w:t>
      </w:r>
    </w:p>
    <w:p w:rsidR="00BC2648" w:rsidRPr="00BC2648" w:rsidRDefault="00BC2648" w:rsidP="00BC2648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特此通知</w:t>
      </w:r>
    </w:p>
    <w:p w:rsidR="00BC2648" w:rsidRPr="00BC2648" w:rsidRDefault="00BC2648" w:rsidP="00BC2648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C2648" w:rsidRPr="00BC2648" w:rsidRDefault="00BC2648" w:rsidP="00BC2648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</w:t>
      </w:r>
      <w:hyperlink r:id="rId6" w:tgtFrame="_blank" w:history="1">
        <w:r w:rsidRPr="00BC2648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融资融券标的股票名单</w:t>
        </w:r>
      </w:hyperlink>
    </w:p>
    <w:p w:rsidR="00BC2648" w:rsidRPr="00BC2648" w:rsidRDefault="00BC2648" w:rsidP="00BC2648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C2648" w:rsidRPr="00BC2648" w:rsidRDefault="00BC2648" w:rsidP="00BC2648">
      <w:pPr>
        <w:widowControl/>
        <w:wordWrap w:val="0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C2648" w:rsidRPr="00BC2648" w:rsidRDefault="00BC2648" w:rsidP="00BC2648">
      <w:pPr>
        <w:widowControl/>
        <w:wordWrap w:val="0"/>
        <w:spacing w:line="420" w:lineRule="atLeast"/>
        <w:ind w:right="420" w:firstLine="3024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BC2648" w:rsidRPr="00BC2648" w:rsidRDefault="00BC2648" w:rsidP="00BC2648">
      <w:pPr>
        <w:widowControl/>
        <w:wordWrap w:val="0"/>
        <w:spacing w:line="420" w:lineRule="atLeast"/>
        <w:ind w:right="420" w:firstLine="3024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C26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2019年8月9日</w:t>
      </w:r>
    </w:p>
    <w:p w:rsidR="008228E2" w:rsidRDefault="008228E2"/>
    <w:sectPr w:rsidR="008228E2" w:rsidSect="0082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AA" w:rsidRDefault="00FD1CAA" w:rsidP="00BC2648">
      <w:r>
        <w:separator/>
      </w:r>
    </w:p>
  </w:endnote>
  <w:endnote w:type="continuationSeparator" w:id="0">
    <w:p w:rsidR="00FD1CAA" w:rsidRDefault="00FD1CAA" w:rsidP="00BC2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AA" w:rsidRDefault="00FD1CAA" w:rsidP="00BC2648">
      <w:r>
        <w:separator/>
      </w:r>
    </w:p>
  </w:footnote>
  <w:footnote w:type="continuationSeparator" w:id="0">
    <w:p w:rsidR="00FD1CAA" w:rsidRDefault="00FD1CAA" w:rsidP="00BC2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648"/>
    <w:rsid w:val="008228E2"/>
    <w:rsid w:val="00BC2648"/>
    <w:rsid w:val="00FD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E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C264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6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64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C2648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Plain Text"/>
    <w:basedOn w:val="a"/>
    <w:link w:val="Char1"/>
    <w:uiPriority w:val="99"/>
    <w:semiHidden/>
    <w:unhideWhenUsed/>
    <w:rsid w:val="00BC2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rsid w:val="00BC2648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C2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189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5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static.szse.cn/www/disclosure/margin/business/W02019080959810348022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2019-08-10T01:56:00Z</dcterms:created>
  <dcterms:modified xsi:type="dcterms:W3CDTF">2019-08-10T01:57:00Z</dcterms:modified>
</cp:coreProperties>
</file>