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78" w:rsidRPr="004C5C78" w:rsidRDefault="004C5C78" w:rsidP="004C5C78">
      <w:pPr>
        <w:widowControl/>
        <w:wordWrap w:val="0"/>
        <w:spacing w:before="272" w:after="136"/>
        <w:jc w:val="center"/>
        <w:outlineLvl w:val="1"/>
        <w:rPr>
          <w:rFonts w:ascii="inherit" w:eastAsia="宋体" w:hAnsi="inherit" w:cs="宋体" w:hint="eastAsia"/>
          <w:color w:val="333333"/>
          <w:kern w:val="0"/>
          <w:sz w:val="44"/>
          <w:szCs w:val="44"/>
        </w:rPr>
      </w:pPr>
      <w:r w:rsidRPr="004C5C78">
        <w:rPr>
          <w:rFonts w:ascii="inherit" w:eastAsia="宋体" w:hAnsi="inherit" w:cs="宋体"/>
          <w:color w:val="333333"/>
          <w:kern w:val="0"/>
          <w:sz w:val="44"/>
          <w:szCs w:val="44"/>
        </w:rPr>
        <w:t>关于融资融券标的证券</w:t>
      </w:r>
      <w:r w:rsidRPr="004C5C78">
        <w:rPr>
          <w:rFonts w:ascii="inherit" w:eastAsia="宋体" w:hAnsi="inherit" w:cs="宋体"/>
          <w:color w:val="333333"/>
          <w:kern w:val="0"/>
          <w:sz w:val="44"/>
          <w:szCs w:val="44"/>
        </w:rPr>
        <w:t>2019</w:t>
      </w:r>
      <w:r w:rsidRPr="004C5C78">
        <w:rPr>
          <w:rFonts w:ascii="inherit" w:eastAsia="宋体" w:hAnsi="inherit" w:cs="宋体"/>
          <w:color w:val="333333"/>
          <w:kern w:val="0"/>
          <w:sz w:val="44"/>
          <w:szCs w:val="44"/>
        </w:rPr>
        <w:t>年第</w:t>
      </w:r>
      <w:r w:rsidR="00876540">
        <w:rPr>
          <w:rFonts w:ascii="inherit" w:eastAsia="宋体" w:hAnsi="inherit" w:cs="宋体" w:hint="eastAsia"/>
          <w:color w:val="333333"/>
          <w:kern w:val="0"/>
          <w:sz w:val="44"/>
          <w:szCs w:val="44"/>
        </w:rPr>
        <w:t>四</w:t>
      </w:r>
      <w:r w:rsidRPr="004C5C78">
        <w:rPr>
          <w:rFonts w:ascii="inherit" w:eastAsia="宋体" w:hAnsi="inherit" w:cs="宋体"/>
          <w:color w:val="333333"/>
          <w:kern w:val="0"/>
          <w:sz w:val="44"/>
          <w:szCs w:val="44"/>
        </w:rPr>
        <w:t>季度定期调整有关事项的通知</w:t>
      </w:r>
    </w:p>
    <w:p w:rsidR="004C5C78" w:rsidRPr="004C5C78" w:rsidRDefault="004C5C78" w:rsidP="004C5C78">
      <w:pPr>
        <w:widowControl/>
        <w:jc w:val="center"/>
        <w:rPr>
          <w:rFonts w:ascii="宋体" w:eastAsia="宋体" w:hAnsi="宋体" w:cs="宋体"/>
          <w:color w:val="999999"/>
          <w:kern w:val="0"/>
          <w:sz w:val="19"/>
          <w:szCs w:val="19"/>
        </w:rPr>
      </w:pPr>
      <w:r w:rsidRPr="004C5C78">
        <w:rPr>
          <w:rFonts w:ascii="宋体" w:eastAsia="宋体" w:hAnsi="宋体" w:cs="宋体" w:hint="eastAsia"/>
          <w:color w:val="999999"/>
          <w:kern w:val="0"/>
          <w:sz w:val="19"/>
          <w:szCs w:val="19"/>
        </w:rPr>
        <w:t>时间：20</w:t>
      </w:r>
      <w:r w:rsidR="00876540">
        <w:rPr>
          <w:rFonts w:ascii="宋体" w:eastAsia="宋体" w:hAnsi="宋体" w:cs="宋体"/>
          <w:color w:val="999999"/>
          <w:kern w:val="0"/>
          <w:sz w:val="19"/>
          <w:szCs w:val="19"/>
        </w:rPr>
        <w:t>20-</w:t>
      </w:r>
      <w:r w:rsidR="00876540">
        <w:rPr>
          <w:rFonts w:ascii="宋体" w:eastAsia="宋体" w:hAnsi="宋体" w:cs="宋体" w:hint="eastAsia"/>
          <w:color w:val="999999"/>
          <w:kern w:val="0"/>
          <w:sz w:val="19"/>
          <w:szCs w:val="19"/>
        </w:rPr>
        <w:t>1</w:t>
      </w:r>
      <w:r w:rsidRPr="004C5C78">
        <w:rPr>
          <w:rFonts w:ascii="宋体" w:eastAsia="宋体" w:hAnsi="宋体" w:cs="宋体" w:hint="eastAsia"/>
          <w:color w:val="999999"/>
          <w:kern w:val="0"/>
          <w:sz w:val="19"/>
          <w:szCs w:val="19"/>
        </w:rPr>
        <w:t>-1</w:t>
      </w:r>
      <w:r w:rsidR="00876540">
        <w:rPr>
          <w:rFonts w:ascii="宋体" w:eastAsia="宋体" w:hAnsi="宋体" w:cs="宋体"/>
          <w:color w:val="999999"/>
          <w:kern w:val="0"/>
          <w:sz w:val="19"/>
          <w:szCs w:val="19"/>
        </w:rPr>
        <w:t>0</w:t>
      </w:r>
    </w:p>
    <w:p w:rsidR="004C5C78" w:rsidRPr="004C5C78" w:rsidRDefault="004C5C78" w:rsidP="004C5C78">
      <w:pPr>
        <w:widowControl/>
        <w:wordWrap w:val="0"/>
        <w:spacing w:line="380" w:lineRule="atLeast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各会员单位：</w:t>
      </w:r>
    </w:p>
    <w:p w:rsidR="004C5C78" w:rsidRPr="004C5C78" w:rsidRDefault="004C5C78" w:rsidP="004C5C78">
      <w:pPr>
        <w:widowControl/>
        <w:wordWrap w:val="0"/>
        <w:spacing w:line="3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为促进融资融券业务发展，优化标的证券结构，根据《深圳证券交易所融资融券交易实施细则（2019年修订）》（以下简称《实施细则》）的相关规定及融资融券标的证券定期评估调整机制，现将2019年第</w:t>
      </w:r>
      <w:r w:rsidR="0087654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四</w:t>
      </w: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季度融资融券标的证券定期调整的有关事项通知如下：</w:t>
      </w:r>
    </w:p>
    <w:p w:rsidR="004C5C78" w:rsidRPr="004C5C78" w:rsidRDefault="004C5C78" w:rsidP="00876540">
      <w:pPr>
        <w:widowControl/>
        <w:wordWrap w:val="0"/>
        <w:spacing w:line="3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一、</w:t>
      </w:r>
      <w:r w:rsidR="0087654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融资融券标的股票范围的调整以优先保留现有标的股票为基本原则。本次标的</w:t>
      </w:r>
      <w:r w:rsidR="00876540">
        <w:rPr>
          <w:rFonts w:ascii="宋体" w:eastAsia="宋体" w:hAnsi="宋体" w:cs="宋体"/>
          <w:color w:val="333333"/>
          <w:kern w:val="0"/>
          <w:sz w:val="24"/>
          <w:szCs w:val="24"/>
        </w:rPr>
        <w:t>股票名单不做调整，本所融资融券标的股票的数量为</w:t>
      </w:r>
      <w:r w:rsidR="0087654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800只</w:t>
      </w:r>
      <w:r w:rsidR="00876540"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</w:p>
    <w:p w:rsidR="004C5C78" w:rsidRPr="004C5C78" w:rsidRDefault="004C5C78" w:rsidP="004C5C78">
      <w:pPr>
        <w:widowControl/>
        <w:wordWrap w:val="0"/>
        <w:spacing w:line="3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</w:t>
      </w:r>
      <w:r w:rsidR="0087654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</w:t>
      </w: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融资融券标的交易型开放式基金范围的调整依据《实施细则》第3.3条规定，并综合考虑基金类型等因素</w:t>
      </w:r>
      <w:r w:rsidR="0087654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进行。本次调整</w:t>
      </w:r>
      <w:r w:rsidR="00876540">
        <w:rPr>
          <w:rFonts w:ascii="宋体" w:eastAsia="宋体" w:hAnsi="宋体" w:cs="宋体"/>
          <w:color w:val="333333"/>
          <w:kern w:val="0"/>
          <w:sz w:val="24"/>
          <w:szCs w:val="24"/>
        </w:rPr>
        <w:t>后，</w:t>
      </w: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本所融资融券标的交易型开放式基金的数量为</w:t>
      </w:r>
      <w:r w:rsidR="00876540">
        <w:rPr>
          <w:rFonts w:ascii="宋体" w:eastAsia="宋体" w:hAnsi="宋体" w:cs="宋体"/>
          <w:color w:val="333333"/>
          <w:kern w:val="0"/>
          <w:sz w:val="24"/>
          <w:szCs w:val="24"/>
        </w:rPr>
        <w:t>21</w:t>
      </w: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只，具体名单见附件。</w:t>
      </w:r>
    </w:p>
    <w:p w:rsidR="004C5C78" w:rsidRDefault="004C5C78" w:rsidP="004C5C78">
      <w:pPr>
        <w:widowControl/>
        <w:wordWrap w:val="0"/>
        <w:spacing w:line="3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三、各会员单位应当高度重视，认真做好本次融资融券标的证券范围调整的业务和技术系统准备，确保相关工作顺利开展。</w:t>
      </w:r>
    </w:p>
    <w:p w:rsidR="00876540" w:rsidRPr="004C5C78" w:rsidRDefault="00876540" w:rsidP="004C5C78">
      <w:pPr>
        <w:widowControl/>
        <w:wordWrap w:val="0"/>
        <w:spacing w:line="3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四、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各会员单位应当持续优化融资融券风险监控指标，根据上市公司财务、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规范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运作及标的证券交易等情况，加强对标的证券的风险识别及差异化管理，采取相应措施防范业务风险，切实保护投资者合法权益。</w:t>
      </w:r>
    </w:p>
    <w:p w:rsidR="004C5C78" w:rsidRPr="004C5C78" w:rsidRDefault="004C5C78" w:rsidP="004C5C78">
      <w:pPr>
        <w:widowControl/>
        <w:wordWrap w:val="0"/>
        <w:spacing w:line="3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四、本通知自20</w:t>
      </w:r>
      <w:r w:rsidR="00876540">
        <w:rPr>
          <w:rFonts w:ascii="宋体" w:eastAsia="宋体" w:hAnsi="宋体" w:cs="宋体"/>
          <w:color w:val="333333"/>
          <w:kern w:val="0"/>
          <w:sz w:val="24"/>
          <w:szCs w:val="24"/>
        </w:rPr>
        <w:t>20</w:t>
      </w: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</w:t>
      </w:r>
      <w:r w:rsidR="0087654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="00876540">
        <w:rPr>
          <w:rFonts w:ascii="宋体" w:eastAsia="宋体" w:hAnsi="宋体" w:cs="宋体"/>
          <w:color w:val="333333"/>
          <w:kern w:val="0"/>
          <w:sz w:val="24"/>
          <w:szCs w:val="24"/>
        </w:rPr>
        <w:t>13</w:t>
      </w: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日起施行。</w:t>
      </w:r>
    </w:p>
    <w:p w:rsidR="004C5C78" w:rsidRPr="004C5C78" w:rsidRDefault="004C5C78" w:rsidP="004C5C78">
      <w:pPr>
        <w:widowControl/>
        <w:wordWrap w:val="0"/>
        <w:spacing w:line="3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特此通知</w:t>
      </w:r>
    </w:p>
    <w:p w:rsidR="004C5C78" w:rsidRPr="004C5C78" w:rsidRDefault="004C5C78" w:rsidP="004C5C78">
      <w:pPr>
        <w:widowControl/>
        <w:wordWrap w:val="0"/>
        <w:spacing w:line="3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C5C78" w:rsidRPr="004C5C78" w:rsidRDefault="004C5C78" w:rsidP="00876540">
      <w:pPr>
        <w:widowControl/>
        <w:wordWrap w:val="0"/>
        <w:spacing w:line="3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附件：</w:t>
      </w:r>
      <w:r w:rsidR="00876540" w:rsidRPr="004C5C78">
        <w:rPr>
          <w:rFonts w:ascii="宋体" w:eastAsia="宋体" w:hAnsi="宋体" w:cs="宋体"/>
          <w:color w:val="333333"/>
          <w:kern w:val="0"/>
          <w:sz w:val="19"/>
          <w:szCs w:val="19"/>
        </w:rPr>
        <w:t xml:space="preserve"> </w:t>
      </w:r>
      <w:hyperlink r:id="rId6" w:tgtFrame="_blank" w:history="1">
        <w:r w:rsidRPr="004C5C78">
          <w:rPr>
            <w:rFonts w:ascii="宋体" w:eastAsia="宋体" w:hAnsi="宋体" w:cs="宋体" w:hint="eastAsia"/>
            <w:color w:val="337AB7"/>
            <w:kern w:val="0"/>
            <w:sz w:val="24"/>
            <w:szCs w:val="24"/>
          </w:rPr>
          <w:t>融资融券标的交易型开放式基金名单</w:t>
        </w:r>
      </w:hyperlink>
    </w:p>
    <w:p w:rsidR="004C5C78" w:rsidRPr="004C5C78" w:rsidRDefault="004C5C78" w:rsidP="004C5C78">
      <w:pPr>
        <w:widowControl/>
        <w:wordWrap w:val="0"/>
        <w:spacing w:line="3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C5C78" w:rsidRPr="004C5C78" w:rsidRDefault="004C5C78" w:rsidP="004C5C78">
      <w:pPr>
        <w:widowControl/>
        <w:wordWrap w:val="0"/>
        <w:spacing w:line="3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4C5C78" w:rsidRPr="004C5C78" w:rsidRDefault="004C5C78" w:rsidP="004C5C78">
      <w:pPr>
        <w:widowControl/>
        <w:wordWrap w:val="0"/>
        <w:spacing w:line="380" w:lineRule="atLeast"/>
        <w:ind w:firstLine="3024"/>
        <w:jc w:val="right"/>
        <w:rPr>
          <w:rFonts w:ascii="宋体" w:eastAsia="宋体" w:hAnsi="宋体" w:cs="宋体"/>
          <w:color w:val="333333"/>
          <w:kern w:val="0"/>
          <w:sz w:val="19"/>
          <w:szCs w:val="19"/>
        </w:rPr>
      </w:pPr>
      <w:bookmarkStart w:id="0" w:name="BUYBACK_RATE"/>
      <w:bookmarkStart w:id="1" w:name="BOND_CODE2"/>
      <w:bookmarkEnd w:id="0"/>
      <w:bookmarkEnd w:id="1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</w:t>
      </w: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深圳证券交易所 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</w:t>
      </w:r>
    </w:p>
    <w:p w:rsidR="004C5C78" w:rsidRPr="004C5C78" w:rsidRDefault="004C5C78" w:rsidP="004C5C78">
      <w:pPr>
        <w:widowControl/>
        <w:wordWrap w:val="0"/>
        <w:spacing w:line="380" w:lineRule="atLeast"/>
        <w:ind w:firstLine="3024"/>
        <w:jc w:val="righ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</w:t>
      </w:r>
      <w:r w:rsidR="00876540">
        <w:rPr>
          <w:rFonts w:ascii="宋体" w:eastAsia="宋体" w:hAnsi="宋体" w:cs="宋体"/>
          <w:color w:val="333333"/>
          <w:kern w:val="0"/>
          <w:sz w:val="24"/>
          <w:szCs w:val="24"/>
        </w:rPr>
        <w:t>20</w:t>
      </w: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</w:t>
      </w:r>
      <w:r w:rsidR="0087654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="0087654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10</w:t>
      </w:r>
      <w:bookmarkStart w:id="2" w:name="_GoBack"/>
      <w:bookmarkEnd w:id="2"/>
      <w:r w:rsidRPr="004C5C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  </w:t>
      </w:r>
    </w:p>
    <w:p w:rsidR="00DB0191" w:rsidRPr="004C5C78" w:rsidRDefault="00DB0191" w:rsidP="004C5C78">
      <w:pPr>
        <w:jc w:val="right"/>
      </w:pPr>
    </w:p>
    <w:sectPr w:rsidR="00DB0191" w:rsidRPr="004C5C78" w:rsidSect="00DB0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77" w:rsidRDefault="005A7377" w:rsidP="004C5C78">
      <w:r>
        <w:separator/>
      </w:r>
    </w:p>
  </w:endnote>
  <w:endnote w:type="continuationSeparator" w:id="0">
    <w:p w:rsidR="005A7377" w:rsidRDefault="005A7377" w:rsidP="004C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77" w:rsidRDefault="005A7377" w:rsidP="004C5C78">
      <w:r>
        <w:separator/>
      </w:r>
    </w:p>
  </w:footnote>
  <w:footnote w:type="continuationSeparator" w:id="0">
    <w:p w:rsidR="005A7377" w:rsidRDefault="005A7377" w:rsidP="004C5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C78"/>
    <w:rsid w:val="004C5C78"/>
    <w:rsid w:val="005A7377"/>
    <w:rsid w:val="00876540"/>
    <w:rsid w:val="00B01772"/>
    <w:rsid w:val="00D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FBF813-9165-4F36-AA66-900D545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9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C5C7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C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C7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C5C78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Plain Text"/>
    <w:basedOn w:val="a"/>
    <w:link w:val="Char1"/>
    <w:uiPriority w:val="99"/>
    <w:semiHidden/>
    <w:unhideWhenUsed/>
    <w:rsid w:val="004C5C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semiHidden/>
    <w:rsid w:val="004C5C78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C5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7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793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091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static.szse.cn/www/disclosure/margin/business/W02019101858637008551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lenovo</cp:lastModifiedBy>
  <cp:revision>4</cp:revision>
  <dcterms:created xsi:type="dcterms:W3CDTF">2019-10-21T01:12:00Z</dcterms:created>
  <dcterms:modified xsi:type="dcterms:W3CDTF">2020-01-13T02:35:00Z</dcterms:modified>
</cp:coreProperties>
</file>