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48" w:rsidRPr="00B46948" w:rsidRDefault="00B46948" w:rsidP="00B46948">
      <w:pPr>
        <w:widowControl/>
        <w:wordWrap w:val="0"/>
        <w:spacing w:before="177" w:after="88"/>
        <w:jc w:val="center"/>
        <w:outlineLvl w:val="1"/>
        <w:rPr>
          <w:rFonts w:ascii="inherit" w:eastAsia="宋体" w:hAnsi="inherit" w:cs="宋体"/>
          <w:color w:val="333333"/>
          <w:kern w:val="0"/>
          <w:sz w:val="28"/>
          <w:szCs w:val="28"/>
        </w:rPr>
      </w:pPr>
      <w:r w:rsidRPr="00B46948">
        <w:rPr>
          <w:rFonts w:ascii="inherit" w:eastAsia="宋体" w:hAnsi="inherit" w:cs="宋体"/>
          <w:color w:val="333333"/>
          <w:kern w:val="0"/>
          <w:sz w:val="28"/>
          <w:szCs w:val="28"/>
        </w:rPr>
        <w:t>关于融资融券标的证券</w:t>
      </w:r>
      <w:r w:rsidRPr="00B46948">
        <w:rPr>
          <w:rFonts w:ascii="inherit" w:eastAsia="宋体" w:hAnsi="inherit" w:cs="宋体"/>
          <w:color w:val="333333"/>
          <w:kern w:val="0"/>
          <w:sz w:val="28"/>
          <w:szCs w:val="28"/>
        </w:rPr>
        <w:t>2020</w:t>
      </w:r>
      <w:r w:rsidRPr="00B46948">
        <w:rPr>
          <w:rFonts w:ascii="inherit" w:eastAsia="宋体" w:hAnsi="inherit" w:cs="宋体"/>
          <w:color w:val="333333"/>
          <w:kern w:val="0"/>
          <w:sz w:val="28"/>
          <w:szCs w:val="28"/>
        </w:rPr>
        <w:t>年第一季度定期调整有关事项的通知</w:t>
      </w:r>
    </w:p>
    <w:p w:rsidR="00B46948" w:rsidRPr="00B46948" w:rsidRDefault="00B46948" w:rsidP="00B46948">
      <w:pPr>
        <w:widowControl/>
        <w:jc w:val="center"/>
        <w:rPr>
          <w:rFonts w:ascii="宋体" w:eastAsia="宋体" w:hAnsi="宋体" w:cs="宋体"/>
          <w:color w:val="999999"/>
          <w:kern w:val="0"/>
          <w:sz w:val="12"/>
          <w:szCs w:val="12"/>
        </w:rPr>
      </w:pPr>
      <w:r w:rsidRPr="00B46948">
        <w:rPr>
          <w:rFonts w:ascii="宋体" w:eastAsia="宋体" w:hAnsi="宋体" w:cs="宋体" w:hint="eastAsia"/>
          <w:color w:val="999999"/>
          <w:kern w:val="0"/>
          <w:sz w:val="12"/>
          <w:szCs w:val="12"/>
        </w:rPr>
        <w:t>时间：2020-04-10</w:t>
      </w:r>
    </w:p>
    <w:p w:rsidR="00B46948" w:rsidRPr="00B46948" w:rsidRDefault="00B46948" w:rsidP="00B46948">
      <w:pPr>
        <w:widowControl/>
        <w:wordWrap w:val="0"/>
        <w:spacing w:line="247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B4694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各会员单位：</w:t>
      </w:r>
    </w:p>
    <w:p w:rsidR="00B46948" w:rsidRPr="00B46948" w:rsidRDefault="00B46948" w:rsidP="00B46948">
      <w:pPr>
        <w:widowControl/>
        <w:wordWrap w:val="0"/>
        <w:spacing w:line="247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2"/>
          <w:szCs w:val="12"/>
        </w:rPr>
      </w:pPr>
      <w:r w:rsidRPr="00B4694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促进融资融券业务发展，优化标的证券结构，根据《深圳证券交易所融资融券交易实施细则（2019年修订）》（以下简称《实施细则》）的相关规定及融资融券标的证券定期评估调整机制，现将2020年第一季度融资融券标的证券定期调整的有关事项通知如下：</w:t>
      </w:r>
    </w:p>
    <w:p w:rsidR="00B46948" w:rsidRPr="00B46948" w:rsidRDefault="00B46948" w:rsidP="00B46948">
      <w:pPr>
        <w:widowControl/>
        <w:wordWrap w:val="0"/>
        <w:spacing w:line="247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  <w:r w:rsidRPr="00B4694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、本次融资融券标的股票的调整，以优先保留现有标的股票为基本原则，并对符合《实施细则》第3.2条等相关规定的本所上市A股股票，按照加权评价指标从大到小排序，选取新增调入的标的股票，调整后本所标的股票数量为800只，具体名单见附件1。加权评价指标的计算方式为：</w:t>
      </w:r>
    </w:p>
    <w:p w:rsidR="00B46948" w:rsidRPr="00B46948" w:rsidRDefault="00B46948" w:rsidP="00B46948">
      <w:pPr>
        <w:widowControl/>
        <w:wordWrap w:val="0"/>
        <w:spacing w:line="247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  <w:r w:rsidRPr="00B4694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加权评价指标=2×（一定期间内该股票平均流通市值/一定期间内深市A股平均流通市值）+（一定期间内该股票平均成交金额/一定期间内深市A股平均成交金额）</w:t>
      </w:r>
    </w:p>
    <w:p w:rsidR="00B46948" w:rsidRPr="00B46948" w:rsidRDefault="00B46948" w:rsidP="00B46948">
      <w:pPr>
        <w:widowControl/>
        <w:wordWrap w:val="0"/>
        <w:spacing w:line="247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  <w:r w:rsidRPr="00B4694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二、本次融资融券标的交易型开放式基金的调整，依据《实施细则》第3.3条规定，并综合考虑基金类型等因素进行。本次调整后，本所融资融券标的交易型开放式基金的数量为30只，具体名单见附件2。</w:t>
      </w:r>
    </w:p>
    <w:p w:rsidR="00B46948" w:rsidRPr="00B46948" w:rsidRDefault="00B46948" w:rsidP="00B46948">
      <w:pPr>
        <w:widowControl/>
        <w:wordWrap w:val="0"/>
        <w:spacing w:line="247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  <w:r w:rsidRPr="00B4694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三、各会员单位应当高度重视，认真做好本次融资融券标的证券定期调整的业务和技术系统准备，确保相关工作顺利开展。</w:t>
      </w:r>
    </w:p>
    <w:p w:rsidR="00B46948" w:rsidRPr="00B46948" w:rsidRDefault="00B46948" w:rsidP="00B46948">
      <w:pPr>
        <w:widowControl/>
        <w:wordWrap w:val="0"/>
        <w:spacing w:line="247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  <w:r w:rsidRPr="00B4694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四、各会员单位应当持续优化融资融券风险监控指标，根据上市公司财务、规范运作及标的证券交易等情况，加强对标的证券的风险识别及差异化管理，采取相应措施防范业务风险，切实保护投资者合法权益。</w:t>
      </w:r>
    </w:p>
    <w:p w:rsidR="00B46948" w:rsidRPr="00B46948" w:rsidRDefault="00B46948" w:rsidP="00B46948">
      <w:pPr>
        <w:widowControl/>
        <w:wordWrap w:val="0"/>
        <w:spacing w:line="247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  <w:r w:rsidRPr="00B4694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五、本通知自2020年4月13日起施行。</w:t>
      </w:r>
    </w:p>
    <w:p w:rsidR="00B46948" w:rsidRPr="00B46948" w:rsidRDefault="00B46948" w:rsidP="00B46948">
      <w:pPr>
        <w:widowControl/>
        <w:wordWrap w:val="0"/>
        <w:spacing w:line="247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  <w:r w:rsidRPr="00B4694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特此通知</w:t>
      </w:r>
    </w:p>
    <w:p w:rsidR="00B46948" w:rsidRPr="00B46948" w:rsidRDefault="00B46948" w:rsidP="00B46948">
      <w:pPr>
        <w:widowControl/>
        <w:wordWrap w:val="0"/>
        <w:spacing w:line="247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  <w:r w:rsidRPr="00B4694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                                </w:t>
      </w:r>
    </w:p>
    <w:p w:rsidR="00B46948" w:rsidRPr="00B46948" w:rsidRDefault="00B46948" w:rsidP="00B46948">
      <w:pPr>
        <w:widowControl/>
        <w:wordWrap w:val="0"/>
        <w:spacing w:line="247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  <w:r w:rsidRPr="00B4694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附件：1．</w:t>
      </w:r>
      <w:hyperlink r:id="rId6" w:tgtFrame="_blank" w:history="1">
        <w:r w:rsidRPr="00B46948">
          <w:rPr>
            <w:rFonts w:ascii="宋体" w:eastAsia="宋体" w:hAnsi="宋体" w:cs="宋体" w:hint="eastAsia"/>
            <w:color w:val="337AB7"/>
            <w:kern w:val="0"/>
            <w:sz w:val="24"/>
            <w:szCs w:val="24"/>
          </w:rPr>
          <w:t>融资融券标的股票名单</w:t>
        </w:r>
      </w:hyperlink>
    </w:p>
    <w:p w:rsidR="00B46948" w:rsidRPr="00B46948" w:rsidRDefault="00B46948" w:rsidP="00B46948">
      <w:pPr>
        <w:widowControl/>
        <w:wordWrap w:val="0"/>
        <w:spacing w:line="247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12"/>
          <w:szCs w:val="12"/>
        </w:rPr>
      </w:pPr>
      <w:r w:rsidRPr="00B4694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   2．</w:t>
      </w:r>
      <w:hyperlink r:id="rId7" w:tgtFrame="_blank" w:history="1">
        <w:r w:rsidRPr="00B46948">
          <w:rPr>
            <w:rFonts w:ascii="宋体" w:eastAsia="宋体" w:hAnsi="宋体" w:cs="宋体" w:hint="eastAsia"/>
            <w:color w:val="337AB7"/>
            <w:kern w:val="0"/>
            <w:sz w:val="24"/>
            <w:szCs w:val="24"/>
          </w:rPr>
          <w:t>融资融券标的交易型开放式基金名单</w:t>
        </w:r>
      </w:hyperlink>
    </w:p>
    <w:p w:rsidR="00B46948" w:rsidRPr="00B46948" w:rsidRDefault="00B46948" w:rsidP="00B46948">
      <w:pPr>
        <w:widowControl/>
        <w:wordWrap w:val="0"/>
        <w:spacing w:line="247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B4694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B46948" w:rsidRPr="00B46948" w:rsidRDefault="00B46948" w:rsidP="00B46948">
      <w:pPr>
        <w:widowControl/>
        <w:wordWrap w:val="0"/>
        <w:spacing w:line="247" w:lineRule="atLeast"/>
        <w:ind w:right="64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4694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深圳证券交易所</w:t>
      </w:r>
    </w:p>
    <w:p w:rsidR="00B46948" w:rsidRPr="00B46948" w:rsidRDefault="00B46948" w:rsidP="00B46948">
      <w:pPr>
        <w:widowControl/>
        <w:wordWrap w:val="0"/>
        <w:spacing w:line="247" w:lineRule="atLeast"/>
        <w:ind w:right="64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4694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2020年4月10日</w:t>
      </w:r>
    </w:p>
    <w:p w:rsidR="00CC29A9" w:rsidRDefault="00CC29A9"/>
    <w:sectPr w:rsidR="00CC29A9" w:rsidSect="00CC2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7DF" w:rsidRDefault="002D37DF" w:rsidP="00B46948">
      <w:r>
        <w:separator/>
      </w:r>
    </w:p>
  </w:endnote>
  <w:endnote w:type="continuationSeparator" w:id="0">
    <w:p w:rsidR="002D37DF" w:rsidRDefault="002D37DF" w:rsidP="00B46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7DF" w:rsidRDefault="002D37DF" w:rsidP="00B46948">
      <w:r>
        <w:separator/>
      </w:r>
    </w:p>
  </w:footnote>
  <w:footnote w:type="continuationSeparator" w:id="0">
    <w:p w:rsidR="002D37DF" w:rsidRDefault="002D37DF" w:rsidP="00B469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948"/>
    <w:rsid w:val="002D37DF"/>
    <w:rsid w:val="00B46948"/>
    <w:rsid w:val="00CC2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A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4694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6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69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69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694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46948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Plain Text"/>
    <w:basedOn w:val="a"/>
    <w:link w:val="Char1"/>
    <w:uiPriority w:val="99"/>
    <w:semiHidden/>
    <w:unhideWhenUsed/>
    <w:rsid w:val="00B469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纯文本 Char"/>
    <w:basedOn w:val="a0"/>
    <w:link w:val="a5"/>
    <w:uiPriority w:val="99"/>
    <w:semiHidden/>
    <w:rsid w:val="00B46948"/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469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5117">
              <w:marLeft w:val="0"/>
              <w:marRight w:val="0"/>
              <w:marTop w:val="2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04383">
          <w:marLeft w:val="0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static.szse.cn/www/disclosure/margin/business/W02020041057713731060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static.szse.cn/www/disclosure/margin/business/W020200410577137306440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2020-04-10T08:30:00Z</dcterms:created>
  <dcterms:modified xsi:type="dcterms:W3CDTF">2020-04-10T08:34:00Z</dcterms:modified>
</cp:coreProperties>
</file>