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9D" w:rsidRPr="00700F9D" w:rsidRDefault="00700F9D" w:rsidP="00700F9D">
      <w:pPr>
        <w:widowControl/>
        <w:shd w:val="clear" w:color="auto" w:fill="FFFFFF"/>
        <w:spacing w:line="537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26"/>
          <w:szCs w:val="26"/>
        </w:rPr>
      </w:pPr>
      <w:r w:rsidRPr="00700F9D">
        <w:rPr>
          <w:rFonts w:ascii="微软雅黑" w:eastAsia="微软雅黑" w:hAnsi="微软雅黑" w:cs="宋体" w:hint="eastAsia"/>
          <w:color w:val="0B3C61"/>
          <w:kern w:val="0"/>
          <w:sz w:val="26"/>
          <w:szCs w:val="26"/>
        </w:rPr>
        <w:t>关于融资融券标的证券2020年第一季度定期调整有关事项的通知</w:t>
      </w:r>
    </w:p>
    <w:p w:rsidR="00700F9D" w:rsidRPr="00700F9D" w:rsidRDefault="00700F9D" w:rsidP="00700F9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333333"/>
          <w:kern w:val="0"/>
          <w:sz w:val="15"/>
        </w:rPr>
        <w:t>   </w:t>
      </w:r>
    </w:p>
    <w:p w:rsidR="00700F9D" w:rsidRPr="00700F9D" w:rsidRDefault="00700F9D" w:rsidP="00700F9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8D8D8D"/>
          <w:kern w:val="0"/>
          <w:sz w:val="13"/>
          <w:szCs w:val="13"/>
        </w:rPr>
        <w:t>2020-04-10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b/>
          <w:bCs/>
          <w:color w:val="4D4D4D"/>
          <w:kern w:val="0"/>
          <w:sz w:val="15"/>
        </w:rPr>
        <w:t>上证发〔2020〕25号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>各会员单位及其他市场参与人：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2020年第一季度定期调整的有关事项通知如下：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一、本次融资融券标的股票（以下简称标的股票）范围的调整以优先保留现有标的股票为基本原则，对符合《实施细则》第二十四条规定的本所上市A股，按照加权评价指标从大到小排序选取新增标的股票，调整后本所标的股票数量为800只（具体名单见附件）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二、本次融资融券标的交易型开放式指数基金范围的调整依据《实施细则》第二十五条规定，并综合考虑基金类型等因素，调整后本所融资融券标的交易型开放式指数基金的数量为62只（具体名单见附件）。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五、科创板融资融券标的证券范围不适用本通知规定。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六、本通知自2020年4月13日起施行。本所于2020年1月10日发布的《关于融资融券标的证券2019年第四季度定期调整有关事项的通知》（上证发〔2020〕3号）同时废止。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特此通知。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附件：</w:t>
      </w:r>
      <w:hyperlink r:id="rId6" w:tgtFrame="_blank" w:tooltip="融资融券标的证券名单（不含科创板证券）" w:history="1">
        <w:r w:rsidRPr="00700F9D">
          <w:rPr>
            <w:rFonts w:ascii="微软雅黑" w:eastAsia="微软雅黑" w:hAnsi="微软雅黑" w:cs="宋体" w:hint="eastAsia"/>
            <w:color w:val="337AB7"/>
            <w:kern w:val="0"/>
            <w:sz w:val="15"/>
          </w:rPr>
          <w:t>融资融券标的证券名单（不含科创板证券）</w:t>
        </w:r>
      </w:hyperlink>
    </w:p>
    <w:p w:rsidR="00700F9D" w:rsidRPr="00700F9D" w:rsidRDefault="00700F9D" w:rsidP="00700F9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br/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上海证券交易所</w:t>
      </w:r>
    </w:p>
    <w:p w:rsidR="00700F9D" w:rsidRPr="00700F9D" w:rsidRDefault="00700F9D" w:rsidP="00700F9D">
      <w:pPr>
        <w:widowControl/>
        <w:shd w:val="clear" w:color="auto" w:fill="FFFFFF"/>
        <w:spacing w:after="107" w:line="241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</w:pPr>
      <w:r w:rsidRPr="00700F9D">
        <w:rPr>
          <w:rFonts w:ascii="微软雅黑" w:eastAsia="微软雅黑" w:hAnsi="微软雅黑" w:cs="宋体" w:hint="eastAsia"/>
          <w:color w:val="4D4D4D"/>
          <w:kern w:val="0"/>
          <w:sz w:val="15"/>
          <w:szCs w:val="15"/>
        </w:rPr>
        <w:t xml:space="preserve">　　二〇二〇年四月十日</w:t>
      </w:r>
    </w:p>
    <w:p w:rsidR="001775C6" w:rsidRPr="00700F9D" w:rsidRDefault="001775C6"/>
    <w:sectPr w:rsidR="001775C6" w:rsidRPr="00700F9D" w:rsidSect="0017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C5" w:rsidRDefault="00C235C5" w:rsidP="00700F9D">
      <w:r>
        <w:separator/>
      </w:r>
    </w:p>
  </w:endnote>
  <w:endnote w:type="continuationSeparator" w:id="0">
    <w:p w:rsidR="00C235C5" w:rsidRDefault="00C235C5" w:rsidP="0070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C5" w:rsidRDefault="00C235C5" w:rsidP="00700F9D">
      <w:r>
        <w:separator/>
      </w:r>
    </w:p>
  </w:footnote>
  <w:footnote w:type="continuationSeparator" w:id="0">
    <w:p w:rsidR="00C235C5" w:rsidRDefault="00C235C5" w:rsidP="0070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F9D"/>
    <w:rsid w:val="001775C6"/>
    <w:rsid w:val="00700F9D"/>
    <w:rsid w:val="00C2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C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0F9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F9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0F9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00F9D"/>
  </w:style>
  <w:style w:type="character" w:styleId="a5">
    <w:name w:val="Hyperlink"/>
    <w:basedOn w:val="a0"/>
    <w:uiPriority w:val="99"/>
    <w:semiHidden/>
    <w:unhideWhenUsed/>
    <w:rsid w:val="00700F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00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00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09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1408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rules/main/trading/universal/a/20200410/15abb452459ddc6bce92ee0dba1cb5a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2020-04-13T01:08:00Z</dcterms:created>
  <dcterms:modified xsi:type="dcterms:W3CDTF">2020-04-13T01:08:00Z</dcterms:modified>
</cp:coreProperties>
</file>