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41" w:rsidRPr="00242B41" w:rsidRDefault="00242B41" w:rsidP="00242B41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 w:rsidRPr="00242B41"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关于融资融券标的证券2020年第二季度定期调整有关事项的通知</w:t>
      </w:r>
    </w:p>
    <w:p w:rsidR="00242B41" w:rsidRPr="00242B41" w:rsidRDefault="00242B41" w:rsidP="00242B41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42B41">
        <w:rPr>
          <w:rFonts w:ascii="微软雅黑" w:eastAsia="微软雅黑" w:hAnsi="微软雅黑" w:cs="宋体" w:hint="eastAsia"/>
          <w:color w:val="333333"/>
          <w:kern w:val="0"/>
        </w:rPr>
        <w:t>   </w:t>
      </w:r>
      <w:r w:rsidRPr="00242B41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2020-07-10</w:t>
      </w:r>
    </w:p>
    <w:p w:rsidR="00242B41" w:rsidRPr="00242B41" w:rsidRDefault="00242B41" w:rsidP="00242B41">
      <w:pPr>
        <w:widowControl/>
        <w:shd w:val="clear" w:color="auto" w:fill="FFFFFF"/>
        <w:spacing w:after="150" w:line="336" w:lineRule="atLeast"/>
        <w:jc w:val="center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42B41">
        <w:rPr>
          <w:rFonts w:ascii="微软雅黑" w:eastAsia="微软雅黑" w:hAnsi="微软雅黑" w:cs="宋体" w:hint="eastAsia"/>
          <w:color w:val="4D4D4D"/>
          <w:kern w:val="0"/>
          <w:szCs w:val="21"/>
        </w:rPr>
        <w:t>上证发〔2020〕54号</w:t>
      </w:r>
    </w:p>
    <w:p w:rsidR="00242B41" w:rsidRPr="00242B41" w:rsidRDefault="00242B41" w:rsidP="00242B41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42B41">
        <w:rPr>
          <w:rFonts w:ascii="微软雅黑" w:eastAsia="微软雅黑" w:hAnsi="微软雅黑" w:cs="宋体" w:hint="eastAsia"/>
          <w:color w:val="4D4D4D"/>
          <w:kern w:val="0"/>
          <w:szCs w:val="21"/>
        </w:rPr>
        <w:t>各会员单位及其他市场参与人：</w:t>
      </w:r>
    </w:p>
    <w:p w:rsidR="00242B41" w:rsidRPr="00242B41" w:rsidRDefault="00242B41" w:rsidP="00242B41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42B41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为促进融资融券业务健康长远发展，优化标的证券结构，根据《上海证券交易所融资融券交易实施细则》（以下简称《实施细则》）的相关规定及融资融券标的证券（以下简称标的证券）定期评估调整机制，上海证券交易所（以下简称本所）于每季度末对标的证券进行评估并视情况实施调整。现将2020年第二季度定期调整的有关事项通知如下：</w:t>
      </w:r>
    </w:p>
    <w:p w:rsidR="00242B41" w:rsidRPr="00242B41" w:rsidRDefault="00242B41" w:rsidP="00242B41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42B41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一、本次融资融券标的股票（以下简称标的股票）范围的调整以优先保留现有标的股票为基本原则，对符合《实施细则》第二十四条规定的本所上市A股，按照加权评价指标从大到小排序选取新增标的股票，调整后本所标的股票数量为800只（具体名单见附件）。</w:t>
      </w:r>
    </w:p>
    <w:p w:rsidR="00242B41" w:rsidRPr="00242B41" w:rsidRDefault="00242B41" w:rsidP="00242B41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42B41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加权评价指标的计算方式为：加权评价指标=2×（一定期间内该股票平均流通市值/一定期间内沪市A股平均流通市值）+（一定期间内该股票平均成交金额/一定期间内沪市A股平均成交金额）。</w:t>
      </w:r>
    </w:p>
    <w:p w:rsidR="00242B41" w:rsidRPr="00242B41" w:rsidRDefault="00242B41" w:rsidP="00242B41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42B41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二、本次融资融券标的交易型开放式指数基金范围的调整依据《实施细则》第二十五条规定，并综合考虑基金类型等因素，调整后本所融资融券标的交易型开放式指数基金的数量为66只（具体名单见附件）。</w:t>
      </w:r>
    </w:p>
    <w:p w:rsidR="00242B41" w:rsidRPr="00242B41" w:rsidRDefault="00242B41" w:rsidP="00242B41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42B41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三、各会员单位应高度重视，认真做好此次标的证券范围调整的相关业务和技术准备工作，保障此项工作顺利开展和安全运行。</w:t>
      </w:r>
    </w:p>
    <w:p w:rsidR="00242B41" w:rsidRPr="00242B41" w:rsidRDefault="00242B41" w:rsidP="00242B41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42B41">
        <w:rPr>
          <w:rFonts w:ascii="微软雅黑" w:eastAsia="微软雅黑" w:hAnsi="微软雅黑" w:cs="宋体" w:hint="eastAsia"/>
          <w:color w:val="4D4D4D"/>
          <w:kern w:val="0"/>
          <w:szCs w:val="21"/>
        </w:rPr>
        <w:lastRenderedPageBreak/>
        <w:t xml:space="preserve">　　四、各会员单位应进一步优化自身风险监控指标，根据上市公司财务指标、合规运营情况及市场交易情形等相关信息，加强对标的证券的风险识别及差异化管理，并采取相应的监控措施，严控融资融券业务风险，切实保护投资者利益。</w:t>
      </w:r>
    </w:p>
    <w:p w:rsidR="00242B41" w:rsidRPr="00242B41" w:rsidRDefault="00242B41" w:rsidP="00242B41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42B41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五、科创板融资融券标的证券范围不适用本通知规定。</w:t>
      </w:r>
    </w:p>
    <w:p w:rsidR="00242B41" w:rsidRPr="00242B41" w:rsidRDefault="00242B41" w:rsidP="00242B41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42B41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六、本通知自2020年7月13日起施行。本所于2020年4月10日发布的《关于融资融券标的证券2020年第一季度定期调整有关事项的通知》（上证发〔2020〕25号）同时废止。</w:t>
      </w:r>
    </w:p>
    <w:p w:rsidR="00242B41" w:rsidRPr="00242B41" w:rsidRDefault="00242B41" w:rsidP="00242B41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42B41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特此通知。</w:t>
      </w:r>
      <w:r w:rsidRPr="00242B41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242B41" w:rsidRPr="00242B41" w:rsidRDefault="00242B41" w:rsidP="00242B41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42B41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附件：</w:t>
      </w:r>
      <w:hyperlink r:id="rId6" w:tgtFrame="_blank" w:tooltip="融资融券标的证券名单（不含科创板证券）" w:history="1">
        <w:r w:rsidRPr="00242B41">
          <w:rPr>
            <w:rFonts w:ascii="微软雅黑" w:eastAsia="微软雅黑" w:hAnsi="微软雅黑" w:cs="宋体" w:hint="eastAsia"/>
            <w:color w:val="337AB7"/>
            <w:kern w:val="0"/>
          </w:rPr>
          <w:t>融资融券标的证券名单（不含科创板证券）</w:t>
        </w:r>
        <w:r w:rsidRPr="00242B41">
          <w:rPr>
            <w:rFonts w:ascii="微软雅黑" w:eastAsia="微软雅黑" w:hAnsi="微软雅黑" w:cs="宋体" w:hint="eastAsia"/>
            <w:color w:val="337AB7"/>
            <w:kern w:val="0"/>
            <w:szCs w:val="21"/>
          </w:rPr>
          <w:br/>
        </w:r>
        <w:r w:rsidRPr="00242B41">
          <w:rPr>
            <w:rFonts w:ascii="微软雅黑" w:eastAsia="微软雅黑" w:hAnsi="微软雅黑" w:cs="宋体" w:hint="eastAsia"/>
            <w:color w:val="337AB7"/>
            <w:kern w:val="0"/>
            <w:szCs w:val="21"/>
          </w:rPr>
          <w:br/>
        </w:r>
      </w:hyperlink>
    </w:p>
    <w:p w:rsidR="00242B41" w:rsidRPr="00242B41" w:rsidRDefault="00242B41" w:rsidP="00242B41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42B41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上海证券交易所</w:t>
      </w:r>
    </w:p>
    <w:p w:rsidR="00242B41" w:rsidRPr="00242B41" w:rsidRDefault="00242B41" w:rsidP="00242B41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42B41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二〇二〇年七月十日</w:t>
      </w:r>
    </w:p>
    <w:p w:rsidR="000F6868" w:rsidRPr="00242B41" w:rsidRDefault="000F6868"/>
    <w:sectPr w:rsidR="000F6868" w:rsidRPr="00242B41" w:rsidSect="000F6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090" w:rsidRDefault="001A5090" w:rsidP="00242B41">
      <w:r>
        <w:separator/>
      </w:r>
    </w:p>
  </w:endnote>
  <w:endnote w:type="continuationSeparator" w:id="0">
    <w:p w:rsidR="001A5090" w:rsidRDefault="001A5090" w:rsidP="00242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090" w:rsidRDefault="001A5090" w:rsidP="00242B41">
      <w:r>
        <w:separator/>
      </w:r>
    </w:p>
  </w:footnote>
  <w:footnote w:type="continuationSeparator" w:id="0">
    <w:p w:rsidR="001A5090" w:rsidRDefault="001A5090" w:rsidP="00242B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B41"/>
    <w:rsid w:val="000F6868"/>
    <w:rsid w:val="001A5090"/>
    <w:rsid w:val="0024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6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42B4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2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2B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2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2B4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42B4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jsoutputapphide">
    <w:name w:val="js_output_apphide"/>
    <w:basedOn w:val="a0"/>
    <w:rsid w:val="00242B41"/>
  </w:style>
  <w:style w:type="character" w:styleId="a5">
    <w:name w:val="Hyperlink"/>
    <w:basedOn w:val="a0"/>
    <w:uiPriority w:val="99"/>
    <w:semiHidden/>
    <w:unhideWhenUsed/>
    <w:rsid w:val="00242B4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42B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5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7786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e.com.cn/services/tradingservice/margin/rules/a/20200710/7db31da2e33ea311ebaa727125e1f8d0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2020-07-14T01:49:00Z</dcterms:created>
  <dcterms:modified xsi:type="dcterms:W3CDTF">2020-07-14T01:57:00Z</dcterms:modified>
</cp:coreProperties>
</file>