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FF" w:rsidRPr="005C72FF" w:rsidRDefault="005C72FF" w:rsidP="005C72FF">
      <w:pPr>
        <w:widowControl/>
        <w:wordWrap w:val="0"/>
        <w:spacing w:before="272" w:after="136"/>
        <w:jc w:val="center"/>
        <w:outlineLvl w:val="1"/>
        <w:rPr>
          <w:rFonts w:ascii="inherit" w:eastAsia="宋体" w:hAnsi="inherit" w:cs="宋体"/>
          <w:color w:val="333333"/>
          <w:kern w:val="0"/>
          <w:sz w:val="44"/>
          <w:szCs w:val="44"/>
        </w:rPr>
      </w:pPr>
      <w:r w:rsidRPr="005C72FF">
        <w:rPr>
          <w:rFonts w:ascii="inherit" w:eastAsia="宋体" w:hAnsi="inherit" w:cs="宋体"/>
          <w:color w:val="333333"/>
          <w:kern w:val="0"/>
          <w:sz w:val="44"/>
          <w:szCs w:val="44"/>
        </w:rPr>
        <w:t>关于融资融券标的证券</w:t>
      </w:r>
      <w:r w:rsidRPr="005C72FF">
        <w:rPr>
          <w:rFonts w:ascii="inherit" w:eastAsia="宋体" w:hAnsi="inherit" w:cs="宋体"/>
          <w:color w:val="333333"/>
          <w:kern w:val="0"/>
          <w:sz w:val="44"/>
          <w:szCs w:val="44"/>
        </w:rPr>
        <w:t>2020</w:t>
      </w:r>
      <w:r w:rsidRPr="005C72FF">
        <w:rPr>
          <w:rFonts w:ascii="inherit" w:eastAsia="宋体" w:hAnsi="inherit" w:cs="宋体"/>
          <w:color w:val="333333"/>
          <w:kern w:val="0"/>
          <w:sz w:val="44"/>
          <w:szCs w:val="44"/>
        </w:rPr>
        <w:t>年第三季度定期调整有关事项的通知</w:t>
      </w:r>
    </w:p>
    <w:p w:rsidR="005C72FF" w:rsidRPr="005C72FF" w:rsidRDefault="005C72FF" w:rsidP="005C72FF">
      <w:pPr>
        <w:widowControl/>
        <w:jc w:val="center"/>
        <w:rPr>
          <w:rFonts w:ascii="宋体" w:eastAsia="宋体" w:hAnsi="宋体" w:cs="宋体"/>
          <w:color w:val="999999"/>
          <w:kern w:val="0"/>
          <w:sz w:val="19"/>
          <w:szCs w:val="19"/>
        </w:rPr>
      </w:pPr>
      <w:r w:rsidRPr="005C72FF">
        <w:rPr>
          <w:rFonts w:ascii="宋体" w:eastAsia="宋体" w:hAnsi="宋体" w:cs="宋体" w:hint="eastAsia"/>
          <w:color w:val="999999"/>
          <w:kern w:val="0"/>
          <w:sz w:val="19"/>
          <w:szCs w:val="19"/>
        </w:rPr>
        <w:t>时间：2020-10-16</w:t>
      </w:r>
    </w:p>
    <w:p w:rsidR="005C72FF" w:rsidRPr="005C72FF" w:rsidRDefault="005C72FF" w:rsidP="005C72FF">
      <w:pPr>
        <w:widowControl/>
        <w:wordWrap w:val="0"/>
        <w:spacing w:line="38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C72F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各会员单位：</w:t>
      </w:r>
    </w:p>
    <w:p w:rsidR="005C72FF" w:rsidRPr="005C72FF" w:rsidRDefault="005C72FF" w:rsidP="005C72FF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C72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促进融资融券业务发展，优化标的证券结构，根据《深圳证券交易所融资融券交易实施细则（2019年修订）》（以下简称《实施细则》）、《深圳证券交易所创业板交易特别规定》（以下简称《交易特别规定》）的相关规定及融资融券标的证券定期评估调整机制，现将2020年第三季度融资融券标的证券定期调整的有关事项通知如下：</w:t>
      </w:r>
    </w:p>
    <w:p w:rsidR="005C72FF" w:rsidRPr="005C72FF" w:rsidRDefault="005C72FF" w:rsidP="005C72FF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C72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对于本所上市的主板、中小板股票，以及《交易特别规定》施行前上市的创业板股票，本次融资融券标的调整以优先保留现有标的股票为基本原则，并对符合《实施细则》第3.2条等相关规定的A股股票，按照加权评价指标从大到小排序，选取新增调入的标的股票，调整后本所标的股票数量为800只，具体名单见附件1。加权评价指标的计算方式为：</w:t>
      </w:r>
    </w:p>
    <w:p w:rsidR="005C72FF" w:rsidRPr="005C72FF" w:rsidRDefault="005C72FF" w:rsidP="005C72FF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C72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加权评价指标=2×（一定期间内该股票平均流通市值/一定期间内深市A股平均流通市值）+（一定期间内该股票平均成交金额/一定期间内深市A股平均成交金额）</w:t>
      </w:r>
    </w:p>
    <w:p w:rsidR="005C72FF" w:rsidRPr="005C72FF" w:rsidRDefault="005C72FF" w:rsidP="005C72FF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C72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二、对于《交易特别规定》施行后上市的创业板股票，自上市首日起可以作为融资融券标的，具体名单见本所网站相关栏目。</w:t>
      </w:r>
    </w:p>
    <w:p w:rsidR="005C72FF" w:rsidRPr="005C72FF" w:rsidRDefault="005C72FF" w:rsidP="005C72FF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C72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三、对于交易型开放式基金，本次融资融券标的调整依据《实施细则》第3.3条规定，并综合考虑基金类型等因素进行。本次调整后，本所融资融券标的交易型开放式基金的数量为39只，具体名单见附件2。</w:t>
      </w:r>
    </w:p>
    <w:p w:rsidR="005C72FF" w:rsidRPr="005C72FF" w:rsidRDefault="005C72FF" w:rsidP="005C72FF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C72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四、各会员单位应当高度重视，认真做好本次融资融券标的证券定期调整的业务和技术系统准备，确保相关工作顺利开展。</w:t>
      </w:r>
    </w:p>
    <w:p w:rsidR="005C72FF" w:rsidRPr="005C72FF" w:rsidRDefault="005C72FF" w:rsidP="005C72FF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C72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五、各会员单位应当持续优化融资融券风险监控指标，根据上市公司财务、规范运作及标的证券交易等情况，加强对标的证券的风险识别及差异化管理，采取相应措施防范业务风险，切实保护投资者合法权益。</w:t>
      </w:r>
    </w:p>
    <w:p w:rsidR="005C72FF" w:rsidRPr="005C72FF" w:rsidRDefault="005C72FF" w:rsidP="005C72FF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C72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六、本通知自2020年10月19日起施行。</w:t>
      </w:r>
    </w:p>
    <w:p w:rsidR="005C72FF" w:rsidRPr="005C72FF" w:rsidRDefault="005C72FF" w:rsidP="005C72FF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C72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特此通知</w:t>
      </w:r>
    </w:p>
    <w:p w:rsidR="005C72FF" w:rsidRPr="005C72FF" w:rsidRDefault="005C72FF" w:rsidP="005C72FF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C72F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附件：1．</w:t>
      </w:r>
      <w:hyperlink r:id="rId6" w:tgtFrame="_blank" w:history="1">
        <w:r w:rsidRPr="005C72FF">
          <w:rPr>
            <w:rFonts w:ascii="宋体" w:eastAsia="宋体" w:hAnsi="宋体" w:cs="宋体" w:hint="eastAsia"/>
            <w:color w:val="337AB7"/>
            <w:kern w:val="0"/>
            <w:sz w:val="24"/>
            <w:szCs w:val="24"/>
            <w:u w:val="single"/>
          </w:rPr>
          <w:t>融资融券标的股票名单（不含《深圳证券交易所创业板交易特别规定》施行后上市的创业板股票）</w:t>
        </w:r>
      </w:hyperlink>
    </w:p>
    <w:p w:rsidR="005C72FF" w:rsidRPr="005C72FF" w:rsidRDefault="005C72FF" w:rsidP="005C72FF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C72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  2．</w:t>
      </w:r>
      <w:hyperlink r:id="rId7" w:tgtFrame="_blank" w:history="1">
        <w:r w:rsidRPr="005C72FF">
          <w:rPr>
            <w:rFonts w:ascii="宋体" w:eastAsia="宋体" w:hAnsi="宋体" w:cs="宋体" w:hint="eastAsia"/>
            <w:color w:val="337AB7"/>
            <w:kern w:val="0"/>
            <w:sz w:val="24"/>
            <w:szCs w:val="24"/>
            <w:u w:val="single"/>
          </w:rPr>
          <w:t>融资融券标的交易型开放式基金名单</w:t>
        </w:r>
      </w:hyperlink>
    </w:p>
    <w:p w:rsidR="005C72FF" w:rsidRPr="005C72FF" w:rsidRDefault="005C72FF" w:rsidP="005C72FF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C72F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5C72FF" w:rsidRPr="005C72FF" w:rsidRDefault="005C72FF" w:rsidP="005C72FF">
      <w:pPr>
        <w:widowControl/>
        <w:wordWrap w:val="0"/>
        <w:spacing w:line="380" w:lineRule="atLeast"/>
        <w:ind w:right="160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C72F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深圳证券交易所</w:t>
      </w:r>
    </w:p>
    <w:p w:rsidR="00A75BF8" w:rsidRPr="005C72FF" w:rsidRDefault="005C72FF" w:rsidP="005C72FF">
      <w:pPr>
        <w:widowControl/>
        <w:wordWrap w:val="0"/>
        <w:spacing w:line="380" w:lineRule="atLeast"/>
        <w:ind w:right="144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C72F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2020年10月16日</w:t>
      </w:r>
    </w:p>
    <w:sectPr w:rsidR="00A75BF8" w:rsidRPr="005C72FF" w:rsidSect="005C72FF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C1C" w:rsidRDefault="006D7C1C" w:rsidP="005C72FF">
      <w:r>
        <w:separator/>
      </w:r>
    </w:p>
  </w:endnote>
  <w:endnote w:type="continuationSeparator" w:id="0">
    <w:p w:rsidR="006D7C1C" w:rsidRDefault="006D7C1C" w:rsidP="005C7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C1C" w:rsidRDefault="006D7C1C" w:rsidP="005C72FF">
      <w:r>
        <w:separator/>
      </w:r>
    </w:p>
  </w:footnote>
  <w:footnote w:type="continuationSeparator" w:id="0">
    <w:p w:rsidR="006D7C1C" w:rsidRDefault="006D7C1C" w:rsidP="005C72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2FF"/>
    <w:rsid w:val="005C72FF"/>
    <w:rsid w:val="006D7C1C"/>
    <w:rsid w:val="00A7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F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C72F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7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72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7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72F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C72FF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5C72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5201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3311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static.szse.cn/www/disclosure/margin/business/W02020101657379943124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static.szse.cn/www/disclosure/margin/business/W020201016573799412013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2020-10-16T08:20:00Z</dcterms:created>
  <dcterms:modified xsi:type="dcterms:W3CDTF">2020-10-16T08:21:00Z</dcterms:modified>
</cp:coreProperties>
</file>