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6F" w:rsidRPr="002B2B6F" w:rsidRDefault="002B2B6F" w:rsidP="002B2B6F">
      <w:pPr>
        <w:widowControl/>
        <w:wordWrap w:val="0"/>
        <w:spacing w:before="272" w:after="136"/>
        <w:jc w:val="center"/>
        <w:outlineLvl w:val="1"/>
        <w:rPr>
          <w:rFonts w:ascii="inherit" w:eastAsia="宋体" w:hAnsi="inherit" w:cs="宋体"/>
          <w:color w:val="333333"/>
          <w:kern w:val="0"/>
          <w:sz w:val="44"/>
          <w:szCs w:val="44"/>
        </w:rPr>
      </w:pPr>
      <w:r w:rsidRPr="002B2B6F">
        <w:rPr>
          <w:rFonts w:ascii="inherit" w:eastAsia="宋体" w:hAnsi="inherit" w:cs="宋体"/>
          <w:color w:val="333333"/>
          <w:kern w:val="0"/>
          <w:sz w:val="44"/>
          <w:szCs w:val="44"/>
        </w:rPr>
        <w:t>关于融资融券标的证券</w:t>
      </w:r>
      <w:r w:rsidRPr="002B2B6F">
        <w:rPr>
          <w:rFonts w:ascii="inherit" w:eastAsia="宋体" w:hAnsi="inherit" w:cs="宋体"/>
          <w:color w:val="333333"/>
          <w:kern w:val="0"/>
          <w:sz w:val="44"/>
          <w:szCs w:val="44"/>
        </w:rPr>
        <w:t>2020</w:t>
      </w:r>
      <w:r w:rsidRPr="002B2B6F">
        <w:rPr>
          <w:rFonts w:ascii="inherit" w:eastAsia="宋体" w:hAnsi="inherit" w:cs="宋体"/>
          <w:color w:val="333333"/>
          <w:kern w:val="0"/>
          <w:sz w:val="44"/>
          <w:szCs w:val="44"/>
        </w:rPr>
        <w:t>年第四季度定期调整有关事项的通知</w:t>
      </w:r>
    </w:p>
    <w:p w:rsidR="002B2B6F" w:rsidRPr="002B2B6F" w:rsidRDefault="002B2B6F" w:rsidP="002B2B6F">
      <w:pPr>
        <w:widowControl/>
        <w:jc w:val="center"/>
        <w:rPr>
          <w:rFonts w:ascii="宋体" w:eastAsia="宋体" w:hAnsi="宋体" w:cs="宋体"/>
          <w:color w:val="999999"/>
          <w:kern w:val="0"/>
          <w:sz w:val="19"/>
          <w:szCs w:val="19"/>
        </w:rPr>
      </w:pPr>
      <w:r w:rsidRPr="002B2B6F">
        <w:rPr>
          <w:rFonts w:ascii="宋体" w:eastAsia="宋体" w:hAnsi="宋体" w:cs="宋体" w:hint="eastAsia"/>
          <w:color w:val="999999"/>
          <w:kern w:val="0"/>
          <w:sz w:val="19"/>
          <w:szCs w:val="19"/>
        </w:rPr>
        <w:t>时间：2021-01-08</w:t>
      </w:r>
    </w:p>
    <w:p w:rsidR="002B2B6F" w:rsidRPr="002B2B6F" w:rsidRDefault="002B2B6F" w:rsidP="002B2B6F">
      <w:pPr>
        <w:widowControl/>
        <w:wordWrap w:val="0"/>
        <w:spacing w:line="38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bookmarkStart w:id="0" w:name="Day2"/>
      <w:bookmarkEnd w:id="0"/>
      <w:r w:rsidRPr="002B2B6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各会员单位：</w:t>
      </w:r>
    </w:p>
    <w:p w:rsidR="002B2B6F" w:rsidRPr="002B2B6F" w:rsidRDefault="002B2B6F" w:rsidP="002B2B6F">
      <w:pPr>
        <w:widowControl/>
        <w:wordWrap w:val="0"/>
        <w:spacing w:line="380" w:lineRule="atLeast"/>
        <w:ind w:firstLine="47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2B6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促进融资融券业务发展，优化标的证券结构，根据《深圳证券交易所融资融券交易实施细则（2020年修订）》（以下简称《实施细则》）、《深圳证券交易所创业板交易特别规定》（以下简称《交易特别规定》）的相关规定及融资融券标的证券定期评估调整机制，现将2020年第四季度融资融券标的证券定期调整的有关事项通知如下：</w:t>
      </w:r>
    </w:p>
    <w:p w:rsidR="002B2B6F" w:rsidRPr="002B2B6F" w:rsidRDefault="002B2B6F" w:rsidP="002B2B6F">
      <w:pPr>
        <w:widowControl/>
        <w:wordWrap w:val="0"/>
        <w:spacing w:line="380" w:lineRule="atLeast"/>
        <w:ind w:firstLine="47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2B6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一、对于本所上市的主板、中小板股票，以及《交易特别规定》施行前上市的创业板股票，融资融券标的调整以优先保留现有标的股票为基本原则，本次标的股票名单不作调整，标的股票的数量为800只。</w:t>
      </w:r>
    </w:p>
    <w:p w:rsidR="002B2B6F" w:rsidRPr="002B2B6F" w:rsidRDefault="002B2B6F" w:rsidP="002B2B6F">
      <w:pPr>
        <w:widowControl/>
        <w:wordWrap w:val="0"/>
        <w:spacing w:line="380" w:lineRule="atLeast"/>
        <w:ind w:firstLine="47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2B6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对于《交易特别规定》施行后上市的创业板股票，自上市首日起可以作为融资融券标的。</w:t>
      </w:r>
    </w:p>
    <w:p w:rsidR="002B2B6F" w:rsidRPr="002B2B6F" w:rsidRDefault="002B2B6F" w:rsidP="002B2B6F">
      <w:pPr>
        <w:widowControl/>
        <w:wordWrap w:val="0"/>
        <w:spacing w:line="380" w:lineRule="atLeast"/>
        <w:ind w:firstLine="47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2B6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标的股票具体名单见本所官方网站“信息披露—融资融券—标的证券信息”专栏。</w:t>
      </w:r>
    </w:p>
    <w:p w:rsidR="002B2B6F" w:rsidRPr="002B2B6F" w:rsidRDefault="002B2B6F" w:rsidP="002B2B6F">
      <w:pPr>
        <w:widowControl/>
        <w:wordWrap w:val="0"/>
        <w:spacing w:line="380" w:lineRule="atLeast"/>
        <w:ind w:firstLine="47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2B6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二、对于交易型开放式基金，融资融券标的调整依据《实施细则》第3.3条规定，并综合考虑基金类型等因素进行。本次调整后，本所融资融券标的交易型开放式基金的数量为40只，具体名单见附件。</w:t>
      </w:r>
    </w:p>
    <w:p w:rsidR="002B2B6F" w:rsidRPr="002B2B6F" w:rsidRDefault="002B2B6F" w:rsidP="002B2B6F">
      <w:pPr>
        <w:widowControl/>
        <w:wordWrap w:val="0"/>
        <w:spacing w:line="380" w:lineRule="atLeast"/>
        <w:ind w:firstLine="47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2B6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三、各会员单位应当高度重视，认真做好本次融资融券标的证券定期调整的业务和技术系统准备，确保相关工作顺利开展。</w:t>
      </w:r>
    </w:p>
    <w:p w:rsidR="002B2B6F" w:rsidRPr="002B2B6F" w:rsidRDefault="002B2B6F" w:rsidP="002B2B6F">
      <w:pPr>
        <w:widowControl/>
        <w:wordWrap w:val="0"/>
        <w:spacing w:line="380" w:lineRule="atLeast"/>
        <w:ind w:firstLine="47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2B6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、各会员单位应当持续优化融资融券风险监控指标，根据上市公司财务、规范运作及标的证券交易等情况，不断加强对标的证券的风险识别及差异化管理，采取有效措施防范业务风险，切实保护投资者合法权益，维护市场秩序。</w:t>
      </w:r>
    </w:p>
    <w:p w:rsidR="002B2B6F" w:rsidRPr="002B2B6F" w:rsidRDefault="002B2B6F" w:rsidP="002B2B6F">
      <w:pPr>
        <w:widowControl/>
        <w:wordWrap w:val="0"/>
        <w:spacing w:line="380" w:lineRule="atLeast"/>
        <w:ind w:firstLine="47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2B6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五、本通知自2021年1月11日起施行。</w:t>
      </w:r>
    </w:p>
    <w:p w:rsidR="002B2B6F" w:rsidRPr="002B2B6F" w:rsidRDefault="002B2B6F" w:rsidP="002B2B6F">
      <w:pPr>
        <w:widowControl/>
        <w:wordWrap w:val="0"/>
        <w:spacing w:line="380" w:lineRule="atLeast"/>
        <w:ind w:firstLine="47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2B6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特此通知</w:t>
      </w:r>
    </w:p>
    <w:p w:rsidR="002B2B6F" w:rsidRPr="002B2B6F" w:rsidRDefault="002B2B6F" w:rsidP="002B2B6F">
      <w:pPr>
        <w:widowControl/>
        <w:wordWrap w:val="0"/>
        <w:spacing w:line="380" w:lineRule="atLeast"/>
        <w:ind w:firstLine="47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2B6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2B2B6F" w:rsidRPr="002B2B6F" w:rsidRDefault="002B2B6F" w:rsidP="002B2B6F">
      <w:pPr>
        <w:widowControl/>
        <w:wordWrap w:val="0"/>
        <w:spacing w:line="380" w:lineRule="atLeast"/>
        <w:ind w:firstLine="47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2B6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附件：融资融券标的交易型开放式基金名单</w:t>
      </w:r>
    </w:p>
    <w:p w:rsidR="002B2B6F" w:rsidRPr="002B2B6F" w:rsidRDefault="002B2B6F" w:rsidP="002B2B6F">
      <w:pPr>
        <w:widowControl/>
        <w:wordWrap w:val="0"/>
        <w:spacing w:line="38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bookmarkStart w:id="1" w:name="FMARKETDATE_YEAR"/>
      <w:bookmarkStart w:id="2" w:name="FUND_NAME1"/>
      <w:bookmarkStart w:id="3" w:name="FUND_NAME2"/>
      <w:bookmarkStart w:id="4" w:name="FCompanyName"/>
      <w:bookmarkStart w:id="5" w:name="FUND_NAME4"/>
      <w:bookmarkStart w:id="6" w:name="FMARKETDATE_MONTH"/>
      <w:bookmarkStart w:id="7" w:name="FMARKETDATE_DAY"/>
      <w:bookmarkEnd w:id="1"/>
      <w:bookmarkEnd w:id="2"/>
      <w:bookmarkEnd w:id="3"/>
      <w:bookmarkEnd w:id="4"/>
      <w:bookmarkEnd w:id="5"/>
      <w:bookmarkEnd w:id="6"/>
      <w:bookmarkEnd w:id="7"/>
      <w:r w:rsidRPr="002B2B6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2B2B6F" w:rsidRPr="002B2B6F" w:rsidRDefault="002B2B6F" w:rsidP="002B2B6F">
      <w:pPr>
        <w:widowControl/>
        <w:wordWrap w:val="0"/>
        <w:spacing w:line="38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2B6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2B2B6F" w:rsidRPr="002B2B6F" w:rsidRDefault="002B2B6F" w:rsidP="002B2B6F">
      <w:pPr>
        <w:widowControl/>
        <w:wordWrap w:val="0"/>
        <w:spacing w:line="380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2B6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深圳证券交易所</w:t>
      </w:r>
    </w:p>
    <w:p w:rsidR="002B2B6F" w:rsidRPr="002B2B6F" w:rsidRDefault="002B2B6F" w:rsidP="002B2B6F">
      <w:pPr>
        <w:widowControl/>
        <w:wordWrap w:val="0"/>
        <w:spacing w:line="380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2B6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2021年1月8日</w:t>
      </w:r>
    </w:p>
    <w:p w:rsidR="002B2B6F" w:rsidRPr="002B2B6F" w:rsidRDefault="002B2B6F" w:rsidP="002B2B6F">
      <w:pPr>
        <w:widowControl/>
        <w:wordWrap w:val="0"/>
        <w:spacing w:line="38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2B6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2B2B6F" w:rsidRPr="002B2B6F" w:rsidRDefault="002B2B6F" w:rsidP="002B2B6F">
      <w:pPr>
        <w:widowControl/>
        <w:wordWrap w:val="0"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2B2B6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br w:type="textWrapping" w:clear="all"/>
      </w:r>
    </w:p>
    <w:p w:rsidR="002B2B6F" w:rsidRPr="002B2B6F" w:rsidRDefault="002B2B6F" w:rsidP="002B2B6F">
      <w:pPr>
        <w:widowControl/>
        <w:wordWrap w:val="0"/>
        <w:spacing w:line="380" w:lineRule="atLeast"/>
        <w:jc w:val="left"/>
        <w:rPr>
          <w:rFonts w:ascii="宋体" w:eastAsia="宋体" w:hAnsi="宋体" w:cs="宋体" w:hint="eastAsia"/>
          <w:color w:val="333333"/>
          <w:kern w:val="0"/>
          <w:sz w:val="19"/>
          <w:szCs w:val="19"/>
        </w:rPr>
      </w:pPr>
      <w:r w:rsidRPr="002B2B6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附件</w:t>
      </w:r>
    </w:p>
    <w:p w:rsidR="002B2B6F" w:rsidRPr="002B2B6F" w:rsidRDefault="002B2B6F" w:rsidP="002B2B6F">
      <w:pPr>
        <w:widowControl/>
        <w:wordWrap w:val="0"/>
        <w:spacing w:line="38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2B2B6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2B2B6F" w:rsidRPr="002B2B6F" w:rsidRDefault="002B2B6F" w:rsidP="002B2B6F">
      <w:pPr>
        <w:widowControl/>
        <w:wordWrap w:val="0"/>
        <w:spacing w:line="38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2B6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融资融券标的交易型开放式基金名单</w:t>
      </w:r>
    </w:p>
    <w:p w:rsidR="002B2B6F" w:rsidRPr="002B2B6F" w:rsidRDefault="002B2B6F" w:rsidP="002B2B6F">
      <w:pPr>
        <w:widowControl/>
        <w:wordWrap w:val="0"/>
        <w:spacing w:line="38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2B6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739"/>
        <w:gridCol w:w="1739"/>
        <w:gridCol w:w="3306"/>
        <w:gridCol w:w="1738"/>
      </w:tblGrid>
      <w:tr w:rsidR="002B2B6F" w:rsidRPr="002B2B6F" w:rsidTr="002B2B6F">
        <w:trPr>
          <w:trHeight w:val="284"/>
          <w:tblHeader/>
          <w:jc w:val="center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B2B6F" w:rsidRPr="002B2B6F" w:rsidTr="002B2B6F">
        <w:trPr>
          <w:trHeight w:val="284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159801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芯片基金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2B6F" w:rsidRPr="002B2B6F" w:rsidTr="002B2B6F">
        <w:trPr>
          <w:trHeight w:val="284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159806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新能车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2B6F" w:rsidRPr="002B2B6F" w:rsidTr="002B2B6F">
        <w:trPr>
          <w:trHeight w:val="284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159807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科技ETF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2B6F" w:rsidRPr="002B2B6F" w:rsidTr="002B2B6F">
        <w:trPr>
          <w:trHeight w:val="284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159811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5G50ETF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2B6F" w:rsidRPr="002B2B6F" w:rsidTr="002B2B6F">
        <w:trPr>
          <w:trHeight w:val="284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159813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芯片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2B6F" w:rsidRPr="002B2B6F" w:rsidTr="002B2B6F">
        <w:trPr>
          <w:trHeight w:val="284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159819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AI智能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2B6F" w:rsidRPr="002B2B6F" w:rsidTr="002B2B6F">
        <w:trPr>
          <w:trHeight w:val="284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159820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500ETF基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2B6F" w:rsidRPr="002B2B6F" w:rsidTr="002B2B6F">
        <w:trPr>
          <w:trHeight w:val="284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159822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新经济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:rsidR="002B2B6F" w:rsidRPr="002B2B6F" w:rsidTr="002B2B6F">
        <w:trPr>
          <w:trHeight w:val="284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159827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农业50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:rsidR="002B2B6F" w:rsidRPr="002B2B6F" w:rsidTr="002B2B6F">
        <w:trPr>
          <w:trHeight w:val="284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159901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深100ETF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2B6F" w:rsidRPr="002B2B6F" w:rsidTr="002B2B6F">
        <w:trPr>
          <w:trHeight w:val="284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159902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 小 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2B6F" w:rsidRPr="002B2B6F" w:rsidTr="002B2B6F">
        <w:trPr>
          <w:trHeight w:val="284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159905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深红利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2B6F" w:rsidRPr="002B2B6F" w:rsidTr="002B2B6F">
        <w:trPr>
          <w:trHeight w:val="284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159910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深F120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2B6F" w:rsidRPr="002B2B6F" w:rsidTr="002B2B6F">
        <w:trPr>
          <w:trHeight w:val="284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159915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创业板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2B6F" w:rsidRPr="002B2B6F" w:rsidTr="002B2B6F">
        <w:trPr>
          <w:trHeight w:val="284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159919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300ETF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2B6F" w:rsidRPr="002B2B6F" w:rsidTr="002B2B6F">
        <w:trPr>
          <w:trHeight w:val="284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159920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恒生ETF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2B6F" w:rsidRPr="002B2B6F" w:rsidTr="002B2B6F">
        <w:trPr>
          <w:trHeight w:val="284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159922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500ETF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2B6F" w:rsidRPr="002B2B6F" w:rsidTr="002B2B6F">
        <w:trPr>
          <w:trHeight w:val="284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159925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南方300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2B6F" w:rsidRPr="002B2B6F" w:rsidTr="002B2B6F">
        <w:trPr>
          <w:trHeight w:val="284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159928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消费ETF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2B6F" w:rsidRPr="002B2B6F" w:rsidTr="002B2B6F">
        <w:trPr>
          <w:trHeight w:val="284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159929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医药ETF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2B6F" w:rsidRPr="002B2B6F" w:rsidTr="002B2B6F">
        <w:trPr>
          <w:trHeight w:val="284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159934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黄金ETF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2B6F" w:rsidRPr="002B2B6F" w:rsidTr="002B2B6F">
        <w:trPr>
          <w:trHeight w:val="284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159937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博时黄金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2B6F" w:rsidRPr="002B2B6F" w:rsidTr="002B2B6F">
        <w:trPr>
          <w:trHeight w:val="284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159938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2B6F" w:rsidRPr="002B2B6F" w:rsidTr="002B2B6F">
        <w:trPr>
          <w:trHeight w:val="284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159939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2B6F" w:rsidRPr="002B2B6F" w:rsidTr="002B2B6F">
        <w:trPr>
          <w:trHeight w:val="284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159940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2B6F" w:rsidRPr="002B2B6F" w:rsidTr="002B2B6F">
        <w:trPr>
          <w:trHeight w:val="284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159941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纳指ETF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2B6F" w:rsidRPr="002B2B6F" w:rsidTr="002B2B6F">
        <w:trPr>
          <w:trHeight w:val="284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159948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创业板EF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2B6F" w:rsidRPr="002B2B6F" w:rsidTr="002B2B6F">
        <w:trPr>
          <w:trHeight w:val="284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159949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创业板50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2B6F" w:rsidRPr="002B2B6F" w:rsidTr="002B2B6F">
        <w:trPr>
          <w:trHeight w:val="284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159952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创业ETF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2B6F" w:rsidRPr="002B2B6F" w:rsidTr="002B2B6F">
        <w:trPr>
          <w:trHeight w:val="284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159966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创蓝筹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2B6F" w:rsidRPr="002B2B6F" w:rsidTr="002B2B6F">
        <w:trPr>
          <w:trHeight w:val="284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159967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创成长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2B6F" w:rsidRPr="002B2B6F" w:rsidTr="002B2B6F">
        <w:trPr>
          <w:trHeight w:val="284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159968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ZZ500ETF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2B6F" w:rsidRPr="002B2B6F" w:rsidTr="002B2B6F">
        <w:trPr>
          <w:trHeight w:val="284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159977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创业板TH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2B6F" w:rsidRPr="002B2B6F" w:rsidTr="002B2B6F">
        <w:trPr>
          <w:trHeight w:val="284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159992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创新药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2B6F" w:rsidRPr="002B2B6F" w:rsidTr="002B2B6F">
        <w:trPr>
          <w:trHeight w:val="284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159993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龙头券商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2B6F" w:rsidRPr="002B2B6F" w:rsidTr="002B2B6F">
        <w:trPr>
          <w:trHeight w:val="284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159994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5GETF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2B6F" w:rsidRPr="002B2B6F" w:rsidTr="002B2B6F">
        <w:trPr>
          <w:trHeight w:val="284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159995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芯片ETF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2B6F" w:rsidRPr="002B2B6F" w:rsidTr="002B2B6F">
        <w:trPr>
          <w:trHeight w:val="284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159996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家电ETF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2B6F" w:rsidRPr="002B2B6F" w:rsidTr="002B2B6F">
        <w:trPr>
          <w:trHeight w:val="284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159997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电子ETF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2B6F" w:rsidRPr="002B2B6F" w:rsidTr="002B2B6F">
        <w:trPr>
          <w:trHeight w:val="284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159998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6F" w:rsidRPr="002B2B6F" w:rsidRDefault="002B2B6F" w:rsidP="002B2B6F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2B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A07F89" w:rsidRDefault="00A07F89"/>
    <w:sectPr w:rsidR="00A07F89" w:rsidSect="00A07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4E8" w:rsidRDefault="00F874E8" w:rsidP="002B2B6F">
      <w:r>
        <w:separator/>
      </w:r>
    </w:p>
  </w:endnote>
  <w:endnote w:type="continuationSeparator" w:id="0">
    <w:p w:rsidR="00F874E8" w:rsidRDefault="00F874E8" w:rsidP="002B2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4E8" w:rsidRDefault="00F874E8" w:rsidP="002B2B6F">
      <w:r>
        <w:separator/>
      </w:r>
    </w:p>
  </w:footnote>
  <w:footnote w:type="continuationSeparator" w:id="0">
    <w:p w:rsidR="00F874E8" w:rsidRDefault="00F874E8" w:rsidP="002B2B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2B6F"/>
    <w:rsid w:val="002B2B6F"/>
    <w:rsid w:val="00A07F89"/>
    <w:rsid w:val="00F8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8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B2B6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2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2B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2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2B6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B2B6F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2B2B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Plain Text"/>
    <w:basedOn w:val="a"/>
    <w:link w:val="Char1"/>
    <w:uiPriority w:val="99"/>
    <w:semiHidden/>
    <w:unhideWhenUsed/>
    <w:rsid w:val="002B2B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basedOn w:val="a0"/>
    <w:link w:val="a6"/>
    <w:uiPriority w:val="99"/>
    <w:semiHidden/>
    <w:rsid w:val="002B2B6F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5264">
              <w:marLeft w:val="0"/>
              <w:marRight w:val="0"/>
              <w:marTop w:val="4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9290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2021-01-11T01:16:00Z</dcterms:created>
  <dcterms:modified xsi:type="dcterms:W3CDTF">2021-01-11T01:18:00Z</dcterms:modified>
</cp:coreProperties>
</file>