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56" w:rsidRPr="00BB6456" w:rsidRDefault="00BB6456" w:rsidP="00BB6456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BB6456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关于融资融券标的证券2021年第一季度定期调整有关事项的通知</w:t>
      </w:r>
    </w:p>
    <w:p w:rsidR="00BB6456" w:rsidRPr="00BB6456" w:rsidRDefault="00BB6456" w:rsidP="00BB645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333333"/>
          <w:kern w:val="0"/>
          <w:sz w:val="22"/>
        </w:rPr>
        <w:t>   </w:t>
      </w:r>
      <w:r w:rsidRPr="00BB6456">
        <w:rPr>
          <w:rFonts w:ascii="微软雅黑" w:eastAsia="微软雅黑" w:hAnsi="微软雅黑" w:cs="宋体" w:hint="eastAsia"/>
          <w:color w:val="8D8D8D"/>
          <w:kern w:val="0"/>
          <w:sz w:val="22"/>
        </w:rPr>
        <w:t>2021-04-16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>上证发〔2021〕22号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>各会员单位及其他市场参与人：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为促进融资融券业务健康长远发展，优化标的证券结构，根据《上海证券交易所融资融券交易实施细则》（以下简称《实施细则》）相关规定及融资融券标的证券（以下简称标的证券）定期评估调整机制，上海证券交易所（以下简称本所）于每季度末对标的证券进行评估并视情况实施调整。现将2021年第一季度定期调整的有关事项通知如下：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一、本次融资融券标的股票（以下简称标的股票）范围调整以优先保留现有标的股票为基本原则，对符合《实施细则》第二十四条规定的本所上市A股，按照加权评价指标从大到小排序选取新增标的股票，调整后本所标的股票数量为800只（具体名单见附件）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二、本次融资融券标的交易型开放式指数基金范围的调整依据《实施细则》第二十五条规定，并综合考虑基金类型等因素，调整后本所融资融券标的交易型开放式指数基金的数量为108只（具体名单见附件）。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lastRenderedPageBreak/>
        <w:t xml:space="preserve">　　三、各会员单位应高度重视，认真做好此次标的证券范围调整的相关业务和技术准备工作，保障此项工作顺利开展和安全运行。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五、科创板融资融券标的股票及存托凭证范围不适用本通知规定。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六、本通知自2021年4月19日起施行。本所于2021年1月8日发布的《关于融资融券标的证券2020年第四季度定期调整有关事项的通知》（上证发〔2021〕3号）同时废止。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特此通知。</w:t>
      </w: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br/>
        <w:t> 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附件：</w:t>
      </w:r>
      <w:hyperlink r:id="rId6" w:tgtFrame="_blank" w:tooltip="融资融券标的证券名单（不含科创板股票及存托凭证）" w:history="1">
        <w:r w:rsidRPr="00BB6456">
          <w:rPr>
            <w:rFonts w:ascii="微软雅黑" w:eastAsia="微软雅黑" w:hAnsi="微软雅黑" w:cs="宋体" w:hint="eastAsia"/>
            <w:color w:val="337AB7"/>
            <w:kern w:val="0"/>
            <w:sz w:val="22"/>
          </w:rPr>
          <w:t>融资融券标的证券名单（不含科创板股票及存托凭证）</w:t>
        </w:r>
      </w:hyperlink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br/>
        <w:t> 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BB6456" w:rsidRPr="00BB6456" w:rsidRDefault="00BB6456" w:rsidP="00BB6456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BB6456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二〇二一年四月十六日</w:t>
      </w:r>
    </w:p>
    <w:p w:rsidR="00C133D3" w:rsidRPr="00BB6456" w:rsidRDefault="00C133D3"/>
    <w:sectPr w:rsidR="00C133D3" w:rsidRPr="00BB6456" w:rsidSect="00C1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34" w:rsidRDefault="00404634" w:rsidP="00BB6456">
      <w:r>
        <w:separator/>
      </w:r>
    </w:p>
  </w:endnote>
  <w:endnote w:type="continuationSeparator" w:id="0">
    <w:p w:rsidR="00404634" w:rsidRDefault="00404634" w:rsidP="00BB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34" w:rsidRDefault="00404634" w:rsidP="00BB6456">
      <w:r>
        <w:separator/>
      </w:r>
    </w:p>
  </w:footnote>
  <w:footnote w:type="continuationSeparator" w:id="0">
    <w:p w:rsidR="00404634" w:rsidRDefault="00404634" w:rsidP="00BB6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56"/>
    <w:rsid w:val="00404634"/>
    <w:rsid w:val="00BB6456"/>
    <w:rsid w:val="00C1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D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B64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4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B64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BB6456"/>
  </w:style>
  <w:style w:type="character" w:styleId="a5">
    <w:name w:val="Hyperlink"/>
    <w:basedOn w:val="a0"/>
    <w:uiPriority w:val="99"/>
    <w:semiHidden/>
    <w:unhideWhenUsed/>
    <w:rsid w:val="00BB645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B6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195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  <w:div w:id="1704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10416/cce3665cf6437ea144733136aa1fd98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2021-04-16T09:36:00Z</dcterms:created>
  <dcterms:modified xsi:type="dcterms:W3CDTF">2021-04-16T09:36:00Z</dcterms:modified>
</cp:coreProperties>
</file>