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41" w:rsidRPr="00E53D41" w:rsidRDefault="00E53D41" w:rsidP="00E53D41">
      <w:pPr>
        <w:widowControl/>
        <w:shd w:val="clear" w:color="auto" w:fill="FFFFFF"/>
        <w:spacing w:after="272"/>
        <w:jc w:val="center"/>
        <w:outlineLvl w:val="1"/>
        <w:rPr>
          <w:rFonts w:ascii="Segoe UI" w:eastAsia="宋体" w:hAnsi="Segoe UI" w:cs="Segoe UI"/>
          <w:color w:val="333333"/>
          <w:kern w:val="0"/>
          <w:sz w:val="33"/>
          <w:szCs w:val="33"/>
        </w:rPr>
      </w:pPr>
      <w:r w:rsidRPr="00E53D41">
        <w:rPr>
          <w:rFonts w:ascii="Segoe UI" w:eastAsia="宋体" w:hAnsi="Segoe UI" w:cs="Segoe UI"/>
          <w:color w:val="333333"/>
          <w:kern w:val="0"/>
          <w:sz w:val="33"/>
          <w:szCs w:val="33"/>
        </w:rPr>
        <w:t>关于融资融券标的证券</w:t>
      </w:r>
      <w:r w:rsidRPr="00E53D41">
        <w:rPr>
          <w:rFonts w:ascii="Segoe UI" w:eastAsia="宋体" w:hAnsi="Segoe UI" w:cs="Segoe UI"/>
          <w:color w:val="333333"/>
          <w:kern w:val="0"/>
          <w:sz w:val="33"/>
          <w:szCs w:val="33"/>
        </w:rPr>
        <w:t>2022</w:t>
      </w:r>
      <w:r w:rsidRPr="00E53D41">
        <w:rPr>
          <w:rFonts w:ascii="Segoe UI" w:eastAsia="宋体" w:hAnsi="Segoe UI" w:cs="Segoe UI"/>
          <w:color w:val="333333"/>
          <w:kern w:val="0"/>
          <w:sz w:val="33"/>
          <w:szCs w:val="33"/>
        </w:rPr>
        <w:t>年第一季度定期调整有关事项的通知</w:t>
      </w:r>
    </w:p>
    <w:p w:rsidR="00E53D41" w:rsidRPr="00E53D41" w:rsidRDefault="00E53D41" w:rsidP="00E53D41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2"/>
        </w:rPr>
      </w:pPr>
      <w:r w:rsidRPr="00E53D41">
        <w:rPr>
          <w:rFonts w:ascii="Segoe UI" w:eastAsia="宋体" w:hAnsi="Segoe UI" w:cs="Segoe UI"/>
          <w:color w:val="8D8D8D"/>
          <w:kern w:val="0"/>
          <w:sz w:val="22"/>
        </w:rPr>
        <w:t>2022-04-15</w:t>
      </w:r>
    </w:p>
    <w:p w:rsidR="00E53D41" w:rsidRPr="00E53D41" w:rsidRDefault="00E53D41" w:rsidP="00E53D41">
      <w:pPr>
        <w:widowControl/>
        <w:shd w:val="clear" w:color="auto" w:fill="FFFFFF"/>
        <w:wordWrap w:val="0"/>
        <w:spacing w:after="136"/>
        <w:jc w:val="center"/>
        <w:rPr>
          <w:rFonts w:ascii="Segoe UI" w:eastAsia="宋体" w:hAnsi="Segoe UI" w:cs="Segoe UI"/>
          <w:color w:val="4D4D4D"/>
          <w:kern w:val="0"/>
          <w:sz w:val="22"/>
        </w:rPr>
      </w:pPr>
      <w:r w:rsidRPr="00E53D41">
        <w:rPr>
          <w:rFonts w:ascii="Segoe UI" w:eastAsia="宋体" w:hAnsi="Segoe UI" w:cs="Segoe UI"/>
          <w:color w:val="4D4D4D"/>
          <w:kern w:val="0"/>
          <w:sz w:val="22"/>
        </w:rPr>
        <w:t>上证发〔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2022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〕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46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号</w:t>
      </w:r>
    </w:p>
    <w:p w:rsidR="00E53D41" w:rsidRPr="00E53D41" w:rsidRDefault="00E53D41" w:rsidP="00E53D41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E53D41">
        <w:rPr>
          <w:rFonts w:ascii="Segoe UI" w:eastAsia="宋体" w:hAnsi="Segoe UI" w:cs="Segoe UI"/>
          <w:color w:val="4D4D4D"/>
          <w:kern w:val="0"/>
          <w:sz w:val="22"/>
        </w:rPr>
        <w:t>各会员单位及其他市场参与人：</w:t>
      </w:r>
    </w:p>
    <w:p w:rsidR="00E53D41" w:rsidRPr="00E53D41" w:rsidRDefault="00E53D41" w:rsidP="00E53D41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E53D41">
        <w:rPr>
          <w:rFonts w:ascii="Segoe UI" w:eastAsia="宋体" w:hAnsi="Segoe UI" w:cs="Segoe UI"/>
          <w:color w:val="4D4D4D"/>
          <w:kern w:val="0"/>
          <w:sz w:val="22"/>
        </w:rPr>
        <w:t xml:space="preserve">　　为促进融资融券业务健康长远发展，优化标的证券结构，根据《上海证券交易所融资融券交易实施细则》（以下简称《实施细则》）的相关规定及融资融券标的证券（以下简称标的证券）定期评估调整机制，上海证券交易所（以下简称本所）于每季度末对标的证券进行评估并视情况实施调整。现将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2022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年第一季度定期调整的有关事项通知如下：</w:t>
      </w:r>
    </w:p>
    <w:p w:rsidR="00E53D41" w:rsidRPr="00E53D41" w:rsidRDefault="00E53D41" w:rsidP="00E53D41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E53D41">
        <w:rPr>
          <w:rFonts w:ascii="Segoe UI" w:eastAsia="宋体" w:hAnsi="Segoe UI" w:cs="Segoe UI"/>
          <w:color w:val="4D4D4D"/>
          <w:kern w:val="0"/>
          <w:sz w:val="22"/>
        </w:rPr>
        <w:t xml:space="preserve">　　一、本次融资融券标的股票（以下简称标的股票）范围的调整以优先保留现有标的股票为基本原则，对符合《实施细则》第二十四条规定的本所上市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A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股，按照加权评价指标从大到小排序选取新增标的股票，调整后本所标的股票数量为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800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只（具体名单见附件）。</w:t>
      </w:r>
    </w:p>
    <w:p w:rsidR="00E53D41" w:rsidRPr="00E53D41" w:rsidRDefault="00E53D41" w:rsidP="00E53D41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E53D41">
        <w:rPr>
          <w:rFonts w:ascii="Segoe UI" w:eastAsia="宋体" w:hAnsi="Segoe UI" w:cs="Segoe UI"/>
          <w:color w:val="4D4D4D"/>
          <w:kern w:val="0"/>
          <w:sz w:val="22"/>
        </w:rPr>
        <w:t xml:space="preserve">　　加权评价指标的计算方式为：加权评价指标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=2×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（一定期间内该股票平均流通市值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/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一定期间内沪市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A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股平均流通市值）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+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（一定期间内该股票平均成交金额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/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一定期间内沪市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A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股平均成交金额）。</w:t>
      </w:r>
    </w:p>
    <w:p w:rsidR="00E53D41" w:rsidRPr="00E53D41" w:rsidRDefault="00E53D41" w:rsidP="00E53D41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E53D41">
        <w:rPr>
          <w:rFonts w:ascii="Segoe UI" w:eastAsia="宋体" w:hAnsi="Segoe UI" w:cs="Segoe UI"/>
          <w:color w:val="4D4D4D"/>
          <w:kern w:val="0"/>
          <w:sz w:val="22"/>
        </w:rPr>
        <w:t xml:space="preserve">　　二、本次融资融券标的交易型开放式指数基金范围的调整依据《实施细则》第二十五条规定，并综合考虑基金类型等因素，调整后本所融资融券标的交易型开放式指数基金的数量为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122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只（具体名单见附件）。</w:t>
      </w:r>
    </w:p>
    <w:p w:rsidR="00E53D41" w:rsidRPr="00E53D41" w:rsidRDefault="00E53D41" w:rsidP="00E53D41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E53D41">
        <w:rPr>
          <w:rFonts w:ascii="Segoe UI" w:eastAsia="宋体" w:hAnsi="Segoe UI" w:cs="Segoe UI"/>
          <w:color w:val="4D4D4D"/>
          <w:kern w:val="0"/>
          <w:sz w:val="22"/>
        </w:rPr>
        <w:t xml:space="preserve">　　三、各会员单位应高度重视，认真做好此次标的证券范围调整的相关业务和技术准备工作，保障此项工作顺利开展和安全运行。</w:t>
      </w:r>
    </w:p>
    <w:p w:rsidR="00E53D41" w:rsidRPr="00E53D41" w:rsidRDefault="00E53D41" w:rsidP="00E53D41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E53D41">
        <w:rPr>
          <w:rFonts w:ascii="Segoe UI" w:eastAsia="宋体" w:hAnsi="Segoe UI" w:cs="Segoe UI"/>
          <w:color w:val="4D4D4D"/>
          <w:kern w:val="0"/>
          <w:sz w:val="22"/>
        </w:rPr>
        <w:t xml:space="preserve">　　四、各会员单位应进一步优化自身风险监控指标，根据上市公司财务指标、合规运营情况及市场交易情形等相关信息，加强对标的证券的风险识别及差异化管理，并采取相应的监控措施，严控融资融券业务风险，切实保护投资者利益。</w:t>
      </w:r>
    </w:p>
    <w:p w:rsidR="00E53D41" w:rsidRPr="00E53D41" w:rsidRDefault="00E53D41" w:rsidP="00E53D41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E53D41">
        <w:rPr>
          <w:rFonts w:ascii="Segoe UI" w:eastAsia="宋体" w:hAnsi="Segoe UI" w:cs="Segoe UI"/>
          <w:color w:val="4D4D4D"/>
          <w:kern w:val="0"/>
          <w:sz w:val="22"/>
        </w:rPr>
        <w:t xml:space="preserve">　　五、科创板融资融券标的股票及存托凭证范围不适用本通知规定。</w:t>
      </w:r>
    </w:p>
    <w:p w:rsidR="00E53D41" w:rsidRPr="00E53D41" w:rsidRDefault="00E53D41" w:rsidP="00E53D41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E53D41">
        <w:rPr>
          <w:rFonts w:ascii="Segoe UI" w:eastAsia="宋体" w:hAnsi="Segoe UI" w:cs="Segoe UI"/>
          <w:color w:val="4D4D4D"/>
          <w:kern w:val="0"/>
          <w:sz w:val="22"/>
        </w:rPr>
        <w:t xml:space="preserve">　　六、本通知自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2022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年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4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月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18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日起施行。本所于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2022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年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1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月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14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日发布的《关于融资融券标的证券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2021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年第四季度定期调整有关事项的通知》（上证发〔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2022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〕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18</w:t>
      </w:r>
      <w:r w:rsidRPr="00E53D41">
        <w:rPr>
          <w:rFonts w:ascii="Segoe UI" w:eastAsia="宋体" w:hAnsi="Segoe UI" w:cs="Segoe UI"/>
          <w:color w:val="4D4D4D"/>
          <w:kern w:val="0"/>
          <w:sz w:val="22"/>
        </w:rPr>
        <w:t>号）同时废止。</w:t>
      </w:r>
    </w:p>
    <w:p w:rsidR="00E53D41" w:rsidRPr="00E53D41" w:rsidRDefault="00E53D41" w:rsidP="00E53D41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E53D41">
        <w:rPr>
          <w:rFonts w:ascii="Segoe UI" w:eastAsia="宋体" w:hAnsi="Segoe UI" w:cs="Segoe UI"/>
          <w:color w:val="4D4D4D"/>
          <w:kern w:val="0"/>
          <w:sz w:val="22"/>
        </w:rPr>
        <w:t xml:space="preserve">　　特此通知。</w:t>
      </w:r>
      <w:r w:rsidRPr="00E53D41">
        <w:rPr>
          <w:rFonts w:ascii="Segoe UI" w:eastAsia="宋体" w:hAnsi="Segoe UI" w:cs="Segoe UI"/>
          <w:color w:val="333333"/>
          <w:kern w:val="0"/>
          <w:sz w:val="22"/>
        </w:rPr>
        <w:br/>
      </w:r>
    </w:p>
    <w:p w:rsidR="00E53D41" w:rsidRPr="00E53D41" w:rsidRDefault="00E53D41" w:rsidP="00E53D41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E53D41">
        <w:rPr>
          <w:rFonts w:ascii="Segoe UI" w:eastAsia="宋体" w:hAnsi="Segoe UI" w:cs="Segoe UI"/>
          <w:color w:val="4D4D4D"/>
          <w:kern w:val="0"/>
          <w:sz w:val="22"/>
        </w:rPr>
        <w:t xml:space="preserve">　　附件：</w:t>
      </w:r>
      <w:hyperlink r:id="rId6" w:tgtFrame="_blank" w:tooltip="融资融券标的证券名单（不含科创板股票及存托凭证）" w:history="1">
        <w:r w:rsidRPr="00E53D41">
          <w:rPr>
            <w:rFonts w:ascii="Segoe UI" w:eastAsia="宋体" w:hAnsi="Segoe UI" w:cs="Segoe UI"/>
            <w:color w:val="005FC9"/>
            <w:kern w:val="0"/>
            <w:sz w:val="22"/>
          </w:rPr>
          <w:t>融资融券标的证券名单（不含科创板股票及存托凭证）</w:t>
        </w:r>
      </w:hyperlink>
    </w:p>
    <w:p w:rsidR="00E53D41" w:rsidRPr="00E53D41" w:rsidRDefault="00E53D41" w:rsidP="00E53D41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2"/>
        </w:rPr>
      </w:pPr>
    </w:p>
    <w:p w:rsidR="00E53D41" w:rsidRPr="00E53D41" w:rsidRDefault="00E53D41" w:rsidP="00E53D41">
      <w:pPr>
        <w:widowControl/>
        <w:shd w:val="clear" w:color="auto" w:fill="FFFFFF"/>
        <w:wordWrap w:val="0"/>
        <w:spacing w:after="136"/>
        <w:jc w:val="right"/>
        <w:rPr>
          <w:rFonts w:ascii="Segoe UI" w:eastAsia="宋体" w:hAnsi="Segoe UI" w:cs="Segoe UI"/>
          <w:color w:val="4D4D4D"/>
          <w:kern w:val="0"/>
          <w:sz w:val="22"/>
        </w:rPr>
      </w:pPr>
      <w:r w:rsidRPr="00E53D41">
        <w:rPr>
          <w:rFonts w:ascii="Segoe UI" w:eastAsia="宋体" w:hAnsi="Segoe UI" w:cs="Segoe UI"/>
          <w:color w:val="4D4D4D"/>
          <w:kern w:val="0"/>
          <w:sz w:val="22"/>
        </w:rPr>
        <w:t xml:space="preserve">　　上海证券交易所</w:t>
      </w:r>
    </w:p>
    <w:p w:rsidR="00ED7EE2" w:rsidRPr="00E53D41" w:rsidRDefault="00E53D41" w:rsidP="00E53D41">
      <w:pPr>
        <w:widowControl/>
        <w:shd w:val="clear" w:color="auto" w:fill="FFFFFF"/>
        <w:wordWrap w:val="0"/>
        <w:spacing w:after="136"/>
        <w:jc w:val="right"/>
        <w:rPr>
          <w:rFonts w:ascii="Segoe UI" w:eastAsia="宋体" w:hAnsi="Segoe UI" w:cs="Segoe UI"/>
          <w:color w:val="4D4D4D"/>
          <w:kern w:val="0"/>
          <w:sz w:val="22"/>
        </w:rPr>
      </w:pPr>
      <w:r w:rsidRPr="00E53D41">
        <w:rPr>
          <w:rFonts w:ascii="Segoe UI" w:eastAsia="宋体" w:hAnsi="Segoe UI" w:cs="Segoe UI"/>
          <w:color w:val="4D4D4D"/>
          <w:kern w:val="0"/>
          <w:sz w:val="22"/>
        </w:rPr>
        <w:t xml:space="preserve">　　二〇二二年四月十五日</w:t>
      </w:r>
    </w:p>
    <w:sectPr w:rsidR="00ED7EE2" w:rsidRPr="00E53D41" w:rsidSect="00ED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CBE" w:rsidRDefault="00C40CBE" w:rsidP="00E53D41">
      <w:r>
        <w:separator/>
      </w:r>
    </w:p>
  </w:endnote>
  <w:endnote w:type="continuationSeparator" w:id="0">
    <w:p w:rsidR="00C40CBE" w:rsidRDefault="00C40CBE" w:rsidP="00E53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CBE" w:rsidRDefault="00C40CBE" w:rsidP="00E53D41">
      <w:r>
        <w:separator/>
      </w:r>
    </w:p>
  </w:footnote>
  <w:footnote w:type="continuationSeparator" w:id="0">
    <w:p w:rsidR="00C40CBE" w:rsidRDefault="00C40CBE" w:rsidP="00E53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D41"/>
    <w:rsid w:val="00C40CBE"/>
    <w:rsid w:val="00E53D41"/>
    <w:rsid w:val="00ED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E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53D4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D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D4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53D41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E53D4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53D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736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single" w:sz="6" w:space="7" w:color="DDDDDD"/>
            <w:right w:val="none" w:sz="0" w:space="0" w:color="auto"/>
          </w:divBdr>
        </w:div>
      </w:divsChild>
    </w:div>
    <w:div w:id="1835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lawandrules/sselawsrules/trade/specific/margin/a/20220415/11eb9d6d99b2117c0a775a95955e3ef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2022-04-18T02:11:00Z</dcterms:created>
  <dcterms:modified xsi:type="dcterms:W3CDTF">2022-04-18T02:12:00Z</dcterms:modified>
</cp:coreProperties>
</file>