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3D" w:rsidRPr="000B3A3D" w:rsidRDefault="000B3A3D" w:rsidP="000B3A3D">
      <w:pPr>
        <w:widowControl/>
        <w:wordWrap w:val="0"/>
        <w:spacing w:before="126" w:after="63"/>
        <w:jc w:val="center"/>
        <w:outlineLvl w:val="1"/>
        <w:rPr>
          <w:rFonts w:ascii="inherit" w:eastAsia="宋体" w:hAnsi="inherit" w:cs="宋体"/>
          <w:color w:val="333333"/>
          <w:kern w:val="0"/>
          <w:sz w:val="20"/>
          <w:szCs w:val="20"/>
        </w:rPr>
      </w:pPr>
      <w:r w:rsidRPr="000B3A3D">
        <w:rPr>
          <w:rFonts w:ascii="inherit" w:eastAsia="宋体" w:hAnsi="inherit" w:cs="宋体"/>
          <w:color w:val="333333"/>
          <w:kern w:val="0"/>
          <w:sz w:val="20"/>
          <w:szCs w:val="20"/>
        </w:rPr>
        <w:t>关于融资融券标的证券</w:t>
      </w:r>
      <w:r w:rsidRPr="000B3A3D">
        <w:rPr>
          <w:rFonts w:ascii="inherit" w:eastAsia="宋体" w:hAnsi="inherit" w:cs="宋体"/>
          <w:color w:val="333333"/>
          <w:kern w:val="0"/>
          <w:sz w:val="20"/>
          <w:szCs w:val="20"/>
        </w:rPr>
        <w:t>2023</w:t>
      </w:r>
      <w:r w:rsidRPr="000B3A3D">
        <w:rPr>
          <w:rFonts w:ascii="inherit" w:eastAsia="宋体" w:hAnsi="inherit" w:cs="宋体"/>
          <w:color w:val="333333"/>
          <w:kern w:val="0"/>
          <w:sz w:val="20"/>
          <w:szCs w:val="20"/>
        </w:rPr>
        <w:t>年第一季度定期调整有关事项的通知</w:t>
      </w:r>
    </w:p>
    <w:p w:rsidR="000B3A3D" w:rsidRPr="000B3A3D" w:rsidRDefault="000B3A3D" w:rsidP="000B3A3D">
      <w:pPr>
        <w:widowControl/>
        <w:jc w:val="center"/>
        <w:rPr>
          <w:rFonts w:ascii="宋体" w:eastAsia="宋体" w:hAnsi="宋体" w:cs="宋体"/>
          <w:color w:val="999999"/>
          <w:kern w:val="0"/>
          <w:sz w:val="9"/>
          <w:szCs w:val="9"/>
        </w:rPr>
      </w:pPr>
      <w:r w:rsidRPr="000B3A3D">
        <w:rPr>
          <w:rFonts w:ascii="宋体" w:eastAsia="宋体" w:hAnsi="宋体" w:cs="宋体" w:hint="eastAsia"/>
          <w:color w:val="999999"/>
          <w:kern w:val="0"/>
          <w:sz w:val="9"/>
          <w:szCs w:val="9"/>
        </w:rPr>
        <w:t>时间：2023-04-14</w:t>
      </w:r>
    </w:p>
    <w:p w:rsidR="000B3A3D" w:rsidRPr="000B3A3D" w:rsidRDefault="000B3A3D" w:rsidP="000B3A3D">
      <w:pPr>
        <w:widowControl/>
        <w:jc w:val="right"/>
        <w:rPr>
          <w:rFonts w:ascii="宋体" w:eastAsia="宋体" w:hAnsi="宋体" w:cs="宋体" w:hint="eastAsia"/>
          <w:color w:val="999999"/>
          <w:kern w:val="0"/>
          <w:sz w:val="9"/>
          <w:szCs w:val="9"/>
        </w:rPr>
      </w:pPr>
      <w:r w:rsidRPr="000B3A3D">
        <w:rPr>
          <w:rFonts w:ascii="宋体" w:eastAsia="宋体" w:hAnsi="宋体" w:cs="宋体" w:hint="eastAsia"/>
          <w:color w:val="999999"/>
          <w:kern w:val="0"/>
          <w:sz w:val="9"/>
          <w:szCs w:val="9"/>
        </w:rPr>
        <w:t>字体： </w:t>
      </w:r>
      <w:r w:rsidRPr="000B3A3D">
        <w:rPr>
          <w:rFonts w:ascii="宋体" w:eastAsia="宋体" w:hAnsi="宋体" w:cs="宋体" w:hint="eastAsia"/>
          <w:color w:val="333333"/>
          <w:kern w:val="0"/>
          <w:sz w:val="9"/>
        </w:rPr>
        <w:t>大</w:t>
      </w:r>
      <w:r w:rsidRPr="000B3A3D">
        <w:rPr>
          <w:rFonts w:ascii="宋体" w:eastAsia="宋体" w:hAnsi="宋体" w:cs="宋体" w:hint="eastAsia"/>
          <w:color w:val="999999"/>
          <w:kern w:val="0"/>
          <w:sz w:val="9"/>
          <w:szCs w:val="9"/>
        </w:rPr>
        <w:t> </w:t>
      </w:r>
      <w:r w:rsidRPr="000B3A3D">
        <w:rPr>
          <w:rFonts w:ascii="宋体" w:eastAsia="宋体" w:hAnsi="宋体" w:cs="宋体" w:hint="eastAsia"/>
          <w:color w:val="333333"/>
          <w:kern w:val="0"/>
          <w:sz w:val="9"/>
        </w:rPr>
        <w:t>中</w:t>
      </w:r>
      <w:r w:rsidRPr="000B3A3D">
        <w:rPr>
          <w:rFonts w:ascii="宋体" w:eastAsia="宋体" w:hAnsi="宋体" w:cs="宋体" w:hint="eastAsia"/>
          <w:color w:val="999999"/>
          <w:kern w:val="0"/>
          <w:sz w:val="9"/>
          <w:szCs w:val="9"/>
        </w:rPr>
        <w:t> </w:t>
      </w:r>
      <w:r w:rsidRPr="000B3A3D">
        <w:rPr>
          <w:rFonts w:ascii="宋体" w:eastAsia="宋体" w:hAnsi="宋体" w:cs="宋体" w:hint="eastAsia"/>
          <w:color w:val="333333"/>
          <w:kern w:val="0"/>
          <w:sz w:val="9"/>
        </w:rPr>
        <w:t>小</w:t>
      </w:r>
    </w:p>
    <w:p w:rsidR="000B3A3D" w:rsidRPr="000B3A3D" w:rsidRDefault="000B3A3D" w:rsidP="000B3A3D">
      <w:pPr>
        <w:widowControl/>
        <w:wordWrap w:val="0"/>
        <w:spacing w:line="177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深证会〔2023〕101号</w:t>
      </w:r>
    </w:p>
    <w:p w:rsidR="000B3A3D" w:rsidRPr="000B3A3D" w:rsidRDefault="000B3A3D" w:rsidP="000B3A3D">
      <w:pPr>
        <w:widowControl/>
        <w:wordWrap w:val="0"/>
        <w:spacing w:line="177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0B3A3D" w:rsidRPr="000B3A3D" w:rsidRDefault="000B3A3D" w:rsidP="000B3A3D">
      <w:pPr>
        <w:widowControl/>
        <w:wordWrap w:val="0"/>
        <w:spacing w:line="177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Day2"/>
      <w:bookmarkEnd w:id="0"/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各会员单位：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2023年修订）》（以下简称《实施细则》）的相关规定及融资融券标的证券定期评估调整机制，现将2023年第一季度融资融券标的证券定期调整的有关事项通知如下：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对于注册制股票以外的股票，本次融资融券标的调整以优先保留现有标的股票为基本原则，并对符合《实施细则》第3.3条相关规定的A股股票，按照加权评价指标从大到小排序，选取新增调入的标的股票，调整后本所标的股票数量为1200只，具体名单见附件1。加权评价指标的计算方式为：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加权评价指标=2×（一定期间内该股票平均流通市值/一定期间内深市A股平均流通市值）+（一定期间内该股票平均成交金额/一定期间内深市A股平均成交金额）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对于注册制股票和存托凭证，自上市首日起可以作为融资融券标的，详见本所网站发布的融资融券标的证券信息。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二、对于交易型开放式基金，融资融券标的调整依据《实施细则》第3.4条规定，并综合考虑基金类型等因素进行。本次调整后，本所融资融券标的交易型开放式基金的数量为94只，具体名单见附件2。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三、各会员单位应当高度重视，认真做好本次融资融券标的证券定期调整的业务和技术系统准备，确保相关工作顺利开展。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持续优化融资融券风险监控指标，根据上市公司财务、规范运作及标的证券交易等情况，不断加强对标的证券的风险识别及差异化管理，采取有效措施防范业务风险，切实保护投资者合法权益，维护市场秩序。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五、本通知自2023年4月17日起施行。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特此通知。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附件：1.</w:t>
      </w:r>
      <w:hyperlink r:id="rId6" w:tgtFrame="_blank" w:history="1">
        <w:r w:rsidRPr="000B3A3D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融资融券标的股票名单（不含注册制股票）</w:t>
        </w:r>
      </w:hyperlink>
    </w:p>
    <w:p w:rsidR="000B3A3D" w:rsidRPr="000B3A3D" w:rsidRDefault="000B3A3D" w:rsidP="000B3A3D">
      <w:pPr>
        <w:widowControl/>
        <w:wordWrap w:val="0"/>
        <w:spacing w:line="177" w:lineRule="atLeast"/>
        <w:ind w:firstLine="1200"/>
        <w:jc w:val="left"/>
        <w:rPr>
          <w:rFonts w:ascii="宋体" w:eastAsia="宋体" w:hAnsi="宋体" w:cs="宋体"/>
          <w:color w:val="333333"/>
          <w:kern w:val="0"/>
          <w:sz w:val="9"/>
          <w:szCs w:val="9"/>
        </w:rPr>
      </w:pPr>
      <w:r w:rsidRPr="000B3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hyperlink r:id="rId7" w:tgtFrame="_blank" w:history="1">
        <w:r w:rsidRPr="000B3A3D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融资融券标的交易型开放式基金名单</w:t>
        </w:r>
      </w:hyperlink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9"/>
          <w:szCs w:val="9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0B3A3D" w:rsidRPr="000B3A3D" w:rsidRDefault="000B3A3D" w:rsidP="000B3A3D">
      <w:pPr>
        <w:widowControl/>
        <w:wordWrap w:val="0"/>
        <w:spacing w:line="17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9"/>
          <w:szCs w:val="9"/>
        </w:rPr>
      </w:pPr>
      <w:r w:rsidRPr="000B3A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0B3A3D" w:rsidRPr="000B3A3D" w:rsidRDefault="000B3A3D" w:rsidP="000B3A3D">
      <w:pPr>
        <w:widowControl/>
        <w:wordWrap w:val="0"/>
        <w:spacing w:line="177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1" w:name="FMARKETDATE_YEAR"/>
      <w:bookmarkStart w:id="2" w:name="FUND_NAME1"/>
      <w:bookmarkStart w:id="3" w:name="FUND_NAME2"/>
      <w:bookmarkStart w:id="4" w:name="FCompanyName"/>
      <w:bookmarkStart w:id="5" w:name="FUND_NAME4"/>
      <w:bookmarkStart w:id="6" w:name="FMARKETDATE_MONTH"/>
      <w:bookmarkStart w:id="7" w:name="FMARKETDATE_DAY"/>
      <w:bookmarkEnd w:id="1"/>
      <w:bookmarkEnd w:id="2"/>
      <w:bookmarkEnd w:id="3"/>
      <w:bookmarkEnd w:id="4"/>
      <w:bookmarkEnd w:id="5"/>
      <w:bookmarkEnd w:id="6"/>
      <w:bookmarkEnd w:id="7"/>
      <w:r w:rsidRPr="000B3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</w:t>
      </w:r>
    </w:p>
    <w:p w:rsidR="000B3A3D" w:rsidRPr="000B3A3D" w:rsidRDefault="000B3A3D" w:rsidP="000B3A3D">
      <w:pPr>
        <w:widowControl/>
        <w:wordWrap w:val="0"/>
        <w:spacing w:line="177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B3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2023年4月14日</w:t>
      </w:r>
    </w:p>
    <w:p w:rsidR="00613BBF" w:rsidRDefault="00613BBF"/>
    <w:sectPr w:rsidR="0061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BF" w:rsidRDefault="00613BBF" w:rsidP="000B3A3D">
      <w:r>
        <w:separator/>
      </w:r>
    </w:p>
  </w:endnote>
  <w:endnote w:type="continuationSeparator" w:id="1">
    <w:p w:rsidR="00613BBF" w:rsidRDefault="00613BBF" w:rsidP="000B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BF" w:rsidRDefault="00613BBF" w:rsidP="000B3A3D">
      <w:r>
        <w:separator/>
      </w:r>
    </w:p>
  </w:footnote>
  <w:footnote w:type="continuationSeparator" w:id="1">
    <w:p w:rsidR="00613BBF" w:rsidRDefault="00613BBF" w:rsidP="000B3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A3D"/>
    <w:rsid w:val="000B3A3D"/>
    <w:rsid w:val="0061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3A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A3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B3A3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igger">
    <w:name w:val="bigger"/>
    <w:basedOn w:val="a0"/>
    <w:rsid w:val="000B3A3D"/>
  </w:style>
  <w:style w:type="character" w:customStyle="1" w:styleId="medium">
    <w:name w:val="medium"/>
    <w:basedOn w:val="a0"/>
    <w:rsid w:val="000B3A3D"/>
  </w:style>
  <w:style w:type="character" w:customStyle="1" w:styleId="smaller">
    <w:name w:val="smaller"/>
    <w:basedOn w:val="a0"/>
    <w:rsid w:val="000B3A3D"/>
  </w:style>
  <w:style w:type="character" w:styleId="a5">
    <w:name w:val="Hyperlink"/>
    <w:basedOn w:val="a0"/>
    <w:uiPriority w:val="99"/>
    <w:semiHidden/>
    <w:unhideWhenUsed/>
    <w:rsid w:val="000B3A3D"/>
    <w:rPr>
      <w:color w:val="0000FF"/>
      <w:u w:val="single"/>
    </w:rPr>
  </w:style>
  <w:style w:type="paragraph" w:styleId="a6">
    <w:name w:val="Plain Text"/>
    <w:basedOn w:val="a"/>
    <w:link w:val="Char1"/>
    <w:uiPriority w:val="99"/>
    <w:semiHidden/>
    <w:unhideWhenUsed/>
    <w:rsid w:val="000B3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semiHidden/>
    <w:rsid w:val="000B3A3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826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485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5745">
          <w:marLeft w:val="0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static.szse.cn/www/disclosure/margin/business/W02023041460396897564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2304146039687402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yezx</dc:creator>
  <cp:keywords/>
  <dc:description/>
  <cp:lastModifiedBy>yezx</cp:lastModifiedBy>
  <cp:revision>3</cp:revision>
  <dcterms:created xsi:type="dcterms:W3CDTF">2023-04-17T01:01:00Z</dcterms:created>
  <dcterms:modified xsi:type="dcterms:W3CDTF">2023-04-17T01:01:00Z</dcterms:modified>
</cp:coreProperties>
</file>