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62" w:rsidRPr="00B15962" w:rsidRDefault="00B15962" w:rsidP="00B15962">
      <w:pPr>
        <w:widowControl/>
        <w:shd w:val="clear" w:color="auto" w:fill="FFFFFF"/>
        <w:spacing w:after="240"/>
        <w:jc w:val="center"/>
        <w:outlineLvl w:val="1"/>
        <w:rPr>
          <w:rFonts w:ascii="Segoe UI" w:eastAsia="宋体" w:hAnsi="Segoe UI" w:cs="Segoe UI"/>
          <w:color w:val="333333"/>
          <w:kern w:val="0"/>
          <w:sz w:val="29"/>
          <w:szCs w:val="29"/>
        </w:rPr>
      </w:pPr>
      <w:r w:rsidRPr="00B15962">
        <w:rPr>
          <w:rFonts w:ascii="Segoe UI" w:eastAsia="宋体" w:hAnsi="Segoe UI" w:cs="Segoe UI"/>
          <w:color w:val="333333"/>
          <w:kern w:val="0"/>
          <w:sz w:val="29"/>
          <w:szCs w:val="29"/>
        </w:rPr>
        <w:t>关于融资融券标的证券</w:t>
      </w:r>
      <w:r w:rsidRPr="00B15962">
        <w:rPr>
          <w:rFonts w:ascii="Segoe UI" w:eastAsia="宋体" w:hAnsi="Segoe UI" w:cs="Segoe UI"/>
          <w:color w:val="333333"/>
          <w:kern w:val="0"/>
          <w:sz w:val="29"/>
          <w:szCs w:val="29"/>
        </w:rPr>
        <w:t>2023</w:t>
      </w:r>
      <w:r w:rsidRPr="00B15962">
        <w:rPr>
          <w:rFonts w:ascii="Segoe UI" w:eastAsia="宋体" w:hAnsi="Segoe UI" w:cs="Segoe UI"/>
          <w:color w:val="333333"/>
          <w:kern w:val="0"/>
          <w:sz w:val="29"/>
          <w:szCs w:val="29"/>
        </w:rPr>
        <w:t>年第二季度定期调整有关事项的通知</w:t>
      </w:r>
    </w:p>
    <w:p w:rsidR="00B15962" w:rsidRPr="00B15962" w:rsidRDefault="00B15962" w:rsidP="00B15962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8D8D8D"/>
          <w:kern w:val="0"/>
          <w:sz w:val="19"/>
          <w:szCs w:val="19"/>
        </w:rPr>
        <w:t>2023-07-07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center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上证发〔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2023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〕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109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号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各会员单位及其他市场参与人：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2023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年第二季度定期调整的有关事项通知如下：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一、本次融资融券标的股票（以下简称标的股票）范围的调整以优先保留现有标的股票为基本原则，对符合《实施细则》第二十五条规定的本所上市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A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股，按照加权评价指标从大到小排序选取新增标的股票，调整后本所标的股票数量为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1000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只（具体名单见附件）。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加权评价指标的计算方式为：加权评价指标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=2×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（一定期间内该股票平均流通市值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/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一定期间内沪市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A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股平均流通市值）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+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（一定期间内该股票平均成交金额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/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一定期间内沪市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A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股平均成交金额）。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二、本次融资融券标的交易型开放式指数基金范围的调整依据《实施细则》第二十六条规定，并综合考虑基金类型等因素，调整后本所融资融券标的交易型开放式指数基金的数量为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170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只（具体名单见附件）。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三、各会员单位应高度重视，认真做好此次标的证券范围调整的相关业务和技术准备工作，保障此项工作顺利开展和安全运行。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五、注册制下首次公开发行的股票及存托凭证不适用本通知规定。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六、本通知自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2023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年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7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月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10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日起施行。本所于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2023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年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4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月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14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日发布的《关于融资融券标的证券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2023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年第一季度定期调整有关事项的通知》（上证发〔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2023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〕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63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号）同时废止。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特此通知。</w:t>
      </w:r>
    </w:p>
    <w:p w:rsidR="00B15962" w:rsidRPr="00B15962" w:rsidRDefault="00B15962" w:rsidP="00B15962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333333"/>
          <w:kern w:val="0"/>
          <w:sz w:val="19"/>
          <w:szCs w:val="19"/>
        </w:rPr>
        <w:br/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lef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附件：</w:t>
      </w:r>
      <w:hyperlink r:id="rId6" w:tgtFrame="_blank" w:tooltip="融资融券标的证券名单（不含注册制下首次公开发行的股票及存托凭证）" w:history="1">
        <w:r w:rsidRPr="00B15962">
          <w:rPr>
            <w:rFonts w:ascii="Segoe UI" w:eastAsia="宋体" w:hAnsi="Segoe UI" w:cs="Segoe UI"/>
            <w:color w:val="005FC9"/>
            <w:kern w:val="0"/>
            <w:sz w:val="19"/>
          </w:rPr>
          <w:t>融资融券标的证券名单（不含注册制下首次公开发行的股票及存托凭证）</w:t>
        </w:r>
      </w:hyperlink>
    </w:p>
    <w:p w:rsidR="00B15962" w:rsidRPr="00B15962" w:rsidRDefault="00B15962" w:rsidP="00B15962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333333"/>
          <w:kern w:val="0"/>
          <w:sz w:val="19"/>
          <w:szCs w:val="19"/>
        </w:rPr>
        <w:br/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righ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上海证券交易所</w:t>
      </w:r>
    </w:p>
    <w:p w:rsidR="00B15962" w:rsidRPr="00B15962" w:rsidRDefault="00B15962" w:rsidP="00B15962">
      <w:pPr>
        <w:widowControl/>
        <w:shd w:val="clear" w:color="auto" w:fill="FFFFFF"/>
        <w:wordWrap w:val="0"/>
        <w:spacing w:after="120"/>
        <w:jc w:val="right"/>
        <w:rPr>
          <w:rFonts w:ascii="Segoe UI" w:eastAsia="宋体" w:hAnsi="Segoe UI" w:cs="Segoe UI"/>
          <w:color w:val="4D4D4D"/>
          <w:kern w:val="0"/>
          <w:sz w:val="19"/>
          <w:szCs w:val="19"/>
        </w:rPr>
      </w:pP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 xml:space="preserve">　　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2023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年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7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月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7</w:t>
      </w:r>
      <w:r w:rsidRPr="00B15962">
        <w:rPr>
          <w:rFonts w:ascii="Segoe UI" w:eastAsia="宋体" w:hAnsi="Segoe UI" w:cs="Segoe UI"/>
          <w:color w:val="4D4D4D"/>
          <w:kern w:val="0"/>
          <w:sz w:val="19"/>
          <w:szCs w:val="19"/>
        </w:rPr>
        <w:t>日</w:t>
      </w:r>
    </w:p>
    <w:p w:rsidR="00361FB2" w:rsidRPr="00B15962" w:rsidRDefault="00361FB2"/>
    <w:sectPr w:rsidR="00361FB2" w:rsidRPr="00B1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B2" w:rsidRDefault="00361FB2" w:rsidP="00B15962">
      <w:r>
        <w:separator/>
      </w:r>
    </w:p>
  </w:endnote>
  <w:endnote w:type="continuationSeparator" w:id="1">
    <w:p w:rsidR="00361FB2" w:rsidRDefault="00361FB2" w:rsidP="00B1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B2" w:rsidRDefault="00361FB2" w:rsidP="00B15962">
      <w:r>
        <w:separator/>
      </w:r>
    </w:p>
  </w:footnote>
  <w:footnote w:type="continuationSeparator" w:id="1">
    <w:p w:rsidR="00361FB2" w:rsidRDefault="00361FB2" w:rsidP="00B15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962"/>
    <w:rsid w:val="00361FB2"/>
    <w:rsid w:val="00B1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59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9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9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596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B1596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15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lawsrules/trade/specific/margin/a/20230707/f2dc9eb3fd5de2680af09914d43bda76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yezx</dc:creator>
  <cp:keywords/>
  <dc:description/>
  <cp:lastModifiedBy>yezx</cp:lastModifiedBy>
  <cp:revision>3</cp:revision>
  <dcterms:created xsi:type="dcterms:W3CDTF">2023-07-10T00:58:00Z</dcterms:created>
  <dcterms:modified xsi:type="dcterms:W3CDTF">2023-07-10T00:58:00Z</dcterms:modified>
</cp:coreProperties>
</file>