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28" w:rsidRPr="00675686" w:rsidRDefault="00675686" w:rsidP="00675686">
      <w:pPr>
        <w:jc w:val="center"/>
        <w:rPr>
          <w:rFonts w:asciiTheme="minorEastAsia" w:hAnsiTheme="minorEastAsia"/>
          <w:sz w:val="32"/>
          <w:szCs w:val="32"/>
        </w:rPr>
      </w:pPr>
      <w:r>
        <w:rPr>
          <w:rFonts w:asciiTheme="minorEastAsia" w:hAnsiTheme="minorEastAsia" w:hint="eastAsia"/>
          <w:sz w:val="32"/>
          <w:szCs w:val="32"/>
        </w:rPr>
        <w:t>英大证券有限责任公司</w:t>
      </w:r>
      <w:r w:rsidRPr="00122DB7">
        <w:rPr>
          <w:rFonts w:asciiTheme="minorEastAsia" w:hAnsiTheme="minorEastAsia" w:hint="eastAsia"/>
          <w:sz w:val="32"/>
          <w:szCs w:val="32"/>
        </w:rPr>
        <w:t>融资融券合同修订对照表</w:t>
      </w:r>
    </w:p>
    <w:tbl>
      <w:tblPr>
        <w:tblW w:w="10760" w:type="dxa"/>
        <w:jc w:val="center"/>
        <w:tblLayout w:type="fixed"/>
        <w:tblCellMar>
          <w:left w:w="0" w:type="dxa"/>
          <w:right w:w="0" w:type="dxa"/>
        </w:tblCellMar>
        <w:tblLook w:val="04A0"/>
      </w:tblPr>
      <w:tblGrid>
        <w:gridCol w:w="679"/>
        <w:gridCol w:w="3207"/>
        <w:gridCol w:w="4137"/>
        <w:gridCol w:w="2737"/>
      </w:tblGrid>
      <w:tr w:rsidR="001D6328" w:rsidTr="00066424">
        <w:trPr>
          <w:trHeight w:val="749"/>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6328" w:rsidRPr="00675686" w:rsidRDefault="001D6328" w:rsidP="00ED465A">
            <w:pPr>
              <w:widowControl/>
              <w:jc w:val="center"/>
              <w:textAlignment w:val="center"/>
              <w:rPr>
                <w:rFonts w:asciiTheme="minorEastAsia" w:eastAsiaTheme="minorEastAsia" w:hAnsiTheme="minorEastAsia" w:cstheme="minorEastAsia"/>
                <w:b/>
                <w:kern w:val="0"/>
                <w:szCs w:val="18"/>
              </w:rPr>
            </w:pPr>
            <w:r w:rsidRPr="00675686">
              <w:rPr>
                <w:rFonts w:asciiTheme="minorEastAsia" w:eastAsiaTheme="minorEastAsia" w:hAnsiTheme="minorEastAsia" w:cstheme="minorEastAsia" w:hint="eastAsia"/>
                <w:b/>
                <w:kern w:val="0"/>
                <w:szCs w:val="18"/>
              </w:rPr>
              <w:t>序号</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6328" w:rsidRPr="00675686" w:rsidRDefault="00582D5E" w:rsidP="00066424">
            <w:pPr>
              <w:widowControl/>
              <w:jc w:val="center"/>
              <w:textAlignment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 w:val="20"/>
                <w:szCs w:val="18"/>
              </w:rPr>
              <w:t>修改后条款</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6328" w:rsidRPr="00675686" w:rsidRDefault="00582D5E" w:rsidP="00066424">
            <w:pPr>
              <w:widowControl/>
              <w:jc w:val="center"/>
              <w:textAlignment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 w:val="20"/>
                <w:szCs w:val="18"/>
              </w:rPr>
              <w:t>原条款</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6328" w:rsidRPr="00675686" w:rsidRDefault="001D6328" w:rsidP="00066424">
            <w:pPr>
              <w:widowControl/>
              <w:jc w:val="center"/>
              <w:textAlignment w:val="center"/>
              <w:rPr>
                <w:rFonts w:asciiTheme="minorEastAsia" w:eastAsiaTheme="minorEastAsia" w:hAnsiTheme="minorEastAsia" w:cstheme="minorEastAsia"/>
                <w:b/>
                <w:kern w:val="0"/>
                <w:szCs w:val="18"/>
              </w:rPr>
            </w:pPr>
            <w:r w:rsidRPr="00675686">
              <w:rPr>
                <w:rFonts w:asciiTheme="minorEastAsia" w:eastAsiaTheme="minorEastAsia" w:hAnsiTheme="minorEastAsia" w:cstheme="minorEastAsia" w:hint="eastAsia"/>
                <w:b/>
                <w:kern w:val="0"/>
                <w:szCs w:val="18"/>
              </w:rPr>
              <w:t>修订说明</w:t>
            </w:r>
          </w:p>
        </w:tc>
      </w:tr>
      <w:tr w:rsidR="00D32A3E" w:rsidRPr="00501BA2" w:rsidTr="00066424">
        <w:trPr>
          <w:trHeight w:val="4051"/>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2A3E" w:rsidRDefault="00D32A3E" w:rsidP="00ED465A">
            <w:pPr>
              <w:widowControl/>
              <w:jc w:val="center"/>
              <w:textAlignment w:val="center"/>
              <w:rPr>
                <w:rFonts w:ascii="宋体" w:hAnsi="宋体" w:cs="宋体" w:hint="eastAsia"/>
                <w:kern w:val="0"/>
                <w:sz w:val="20"/>
                <w:szCs w:val="20"/>
              </w:rPr>
            </w:pPr>
            <w:r>
              <w:rPr>
                <w:rFonts w:ascii="宋体" w:hAnsi="宋体" w:cs="宋体" w:hint="eastAsia"/>
                <w:kern w:val="0"/>
                <w:sz w:val="20"/>
                <w:szCs w:val="20"/>
              </w:rPr>
              <w:t>1</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2A3E" w:rsidRPr="0035524A" w:rsidRDefault="00D32A3E" w:rsidP="00D32A3E">
            <w:pPr>
              <w:widowControl/>
              <w:ind w:firstLineChars="200" w:firstLine="400"/>
              <w:jc w:val="left"/>
              <w:textAlignment w:val="center"/>
              <w:rPr>
                <w:rFonts w:ascii="宋体" w:hAnsi="宋体" w:cs="宋体" w:hint="eastAsia"/>
                <w:kern w:val="0"/>
                <w:sz w:val="20"/>
                <w:szCs w:val="20"/>
              </w:rPr>
            </w:pPr>
            <w:r w:rsidRPr="00D32A3E">
              <w:rPr>
                <w:rFonts w:ascii="宋体" w:hAnsi="宋体" w:cs="宋体" w:hint="eastAsia"/>
                <w:kern w:val="0"/>
                <w:sz w:val="20"/>
                <w:szCs w:val="20"/>
              </w:rPr>
              <w:t>为规范融资融券交易行为，明确甲乙双方在融资融券交易过程中的权利义务，依照《中华人民共和国证券法》、《中华人民共和国民法典》、《中华人民共和国信托法》、《证券公司监督管理条例》、《证券公司融资融券业务管理办法》、《证券公司融资融券业务内部控制指引》等法律、法规、规章及其他规范性文件和中国证券业协会、证券交易所、中国证券登记结算有限责任公司业务规则（以下统称“业务规则”）等规定，甲乙双方在平等自愿、诚实信用的基础上，就乙方为甲方提供融资融券服务的相关事宜，自愿达成本合同，以资共同遵守。</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2A3E" w:rsidRPr="0035524A" w:rsidRDefault="00D32A3E" w:rsidP="00D32A3E">
            <w:pPr>
              <w:widowControl/>
              <w:ind w:firstLineChars="200" w:firstLine="400"/>
              <w:jc w:val="left"/>
              <w:textAlignment w:val="center"/>
              <w:rPr>
                <w:rFonts w:ascii="宋体" w:hAnsi="宋体" w:cs="宋体" w:hint="eastAsia"/>
                <w:kern w:val="0"/>
                <w:sz w:val="20"/>
                <w:szCs w:val="20"/>
              </w:rPr>
            </w:pPr>
            <w:r w:rsidRPr="00D32A3E">
              <w:rPr>
                <w:rFonts w:ascii="宋体" w:hAnsi="宋体" w:cs="宋体" w:hint="eastAsia"/>
                <w:kern w:val="0"/>
                <w:sz w:val="20"/>
                <w:szCs w:val="20"/>
              </w:rPr>
              <w:t>为规范融资融券交易行为，明确甲乙双方在融资融券交易过程中的权利义务，依照《中华人民共和国证券法》、《中华人民共和国民法典》、《中华人民共和国信托法》、《证券公司监督管理条例》、《证券公司融资融券业务管理办法》、《证券公司融资融券业务内部控制指引》等法律、法规、规章及其他规范性文件和中国证券业协会、</w:t>
            </w:r>
            <w:r w:rsidRPr="00D32A3E">
              <w:rPr>
                <w:rFonts w:ascii="宋体" w:hAnsi="宋体" w:cs="宋体" w:hint="eastAsia"/>
                <w:b/>
                <w:strike/>
                <w:kern w:val="0"/>
                <w:sz w:val="20"/>
                <w:szCs w:val="20"/>
              </w:rPr>
              <w:t>上海及深圳</w:t>
            </w:r>
            <w:r w:rsidRPr="00D32A3E">
              <w:rPr>
                <w:rFonts w:ascii="宋体" w:hAnsi="宋体" w:cs="宋体" w:hint="eastAsia"/>
                <w:kern w:val="0"/>
                <w:sz w:val="20"/>
                <w:szCs w:val="20"/>
              </w:rPr>
              <w:t>证券交易所、中国证券登记结算有限责任公司业务规则（以下统称“业务规则”）等规定，甲乙双方在平等自愿、诚实信用的基础上，就乙方为甲方提供融资融券服务的相关事宜，自愿达成本合同，以资共同遵守。</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2A3E" w:rsidRDefault="00D32A3E" w:rsidP="00A4637C">
            <w:pPr>
              <w:widowControl/>
              <w:jc w:val="left"/>
              <w:textAlignment w:val="center"/>
              <w:rPr>
                <w:rFonts w:ascii="宋体" w:hAnsi="宋体" w:cs="宋体"/>
                <w:kern w:val="0"/>
                <w:sz w:val="20"/>
                <w:szCs w:val="20"/>
              </w:rPr>
            </w:pPr>
            <w:r>
              <w:rPr>
                <w:rFonts w:ascii="宋体" w:hAnsi="宋体" w:cs="宋体"/>
                <w:kern w:val="0"/>
                <w:sz w:val="20"/>
                <w:szCs w:val="20"/>
              </w:rPr>
              <w:t>满足</w:t>
            </w:r>
            <w:r>
              <w:rPr>
                <w:rFonts w:ascii="宋体" w:hAnsi="宋体" w:cs="宋体"/>
                <w:kern w:val="0"/>
                <w:sz w:val="20"/>
                <w:szCs w:val="20"/>
              </w:rPr>
              <w:t>后期</w:t>
            </w:r>
            <w:r>
              <w:rPr>
                <w:rFonts w:ascii="宋体" w:hAnsi="宋体" w:cs="宋体"/>
                <w:kern w:val="0"/>
                <w:sz w:val="20"/>
                <w:szCs w:val="20"/>
              </w:rPr>
              <w:t>北</w:t>
            </w:r>
            <w:proofErr w:type="gramStart"/>
            <w:r>
              <w:rPr>
                <w:rFonts w:ascii="宋体" w:hAnsi="宋体" w:cs="宋体"/>
                <w:kern w:val="0"/>
                <w:sz w:val="20"/>
                <w:szCs w:val="20"/>
              </w:rPr>
              <w:t>交所两融</w:t>
            </w:r>
            <w:proofErr w:type="gramEnd"/>
            <w:r>
              <w:rPr>
                <w:rFonts w:ascii="宋体" w:hAnsi="宋体" w:cs="宋体"/>
                <w:kern w:val="0"/>
                <w:sz w:val="20"/>
                <w:szCs w:val="20"/>
              </w:rPr>
              <w:t>的业务需求</w:t>
            </w:r>
            <w:r>
              <w:rPr>
                <w:rFonts w:ascii="宋体" w:hAnsi="宋体" w:cs="宋体" w:hint="eastAsia"/>
                <w:kern w:val="0"/>
                <w:sz w:val="20"/>
                <w:szCs w:val="20"/>
              </w:rPr>
              <w:t>。</w:t>
            </w:r>
          </w:p>
        </w:tc>
      </w:tr>
      <w:tr w:rsidR="00D32A3E" w:rsidTr="00732A31">
        <w:trPr>
          <w:trHeight w:val="749"/>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2A3E" w:rsidRPr="00E31F7E" w:rsidRDefault="00D32A3E" w:rsidP="00732A31">
            <w:pPr>
              <w:widowControl/>
              <w:jc w:val="center"/>
              <w:textAlignment w:val="center"/>
              <w:rPr>
                <w:rFonts w:ascii="方正仿宋_GBK" w:eastAsia="方正仿宋_GBK"/>
                <w:kern w:val="0"/>
                <w:sz w:val="20"/>
                <w:szCs w:val="20"/>
              </w:rPr>
            </w:pPr>
            <w:r>
              <w:rPr>
                <w:rFonts w:ascii="宋体" w:hAnsi="宋体" w:cs="宋体" w:hint="eastAsia"/>
                <w:kern w:val="0"/>
                <w:sz w:val="20"/>
                <w:szCs w:val="20"/>
              </w:rPr>
              <w:t>2</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2A3E" w:rsidRDefault="00D32A3E" w:rsidP="00732A31">
            <w:pPr>
              <w:widowControl/>
              <w:jc w:val="left"/>
              <w:textAlignment w:val="center"/>
              <w:rPr>
                <w:rFonts w:ascii="宋体" w:hAnsi="宋体" w:cs="宋体"/>
                <w:kern w:val="0"/>
                <w:sz w:val="20"/>
                <w:szCs w:val="20"/>
              </w:rPr>
            </w:pPr>
            <w:r w:rsidRPr="001C587F">
              <w:rPr>
                <w:rFonts w:ascii="宋体" w:hAnsi="宋体" w:cs="宋体" w:hint="eastAsia"/>
                <w:kern w:val="0"/>
                <w:sz w:val="20"/>
                <w:szCs w:val="20"/>
              </w:rPr>
              <w:t>第一条 除非本合同另有解释或说明，下列词语或简称具有如下含义：</w:t>
            </w:r>
          </w:p>
          <w:p w:rsidR="00D32A3E" w:rsidRPr="001C587F" w:rsidRDefault="00D32A3E" w:rsidP="00732A31">
            <w:pPr>
              <w:widowControl/>
              <w:jc w:val="left"/>
              <w:textAlignment w:val="center"/>
              <w:rPr>
                <w:rFonts w:ascii="宋体" w:hAnsi="宋体" w:cs="宋体"/>
                <w:kern w:val="0"/>
                <w:sz w:val="20"/>
                <w:szCs w:val="20"/>
              </w:rPr>
            </w:pPr>
            <w:r>
              <w:rPr>
                <w:rFonts w:ascii="宋体" w:hAnsi="宋体" w:cs="宋体" w:hint="eastAsia"/>
                <w:kern w:val="0"/>
                <w:sz w:val="20"/>
                <w:szCs w:val="20"/>
              </w:rPr>
              <w:t>……</w:t>
            </w:r>
          </w:p>
          <w:p w:rsidR="00D32A3E" w:rsidRPr="001C587F" w:rsidRDefault="00D32A3E" w:rsidP="00D32A3E">
            <w:pPr>
              <w:widowControl/>
              <w:jc w:val="left"/>
              <w:textAlignment w:val="center"/>
              <w:rPr>
                <w:rFonts w:ascii="宋体" w:hAnsi="宋体" w:cs="宋体"/>
                <w:kern w:val="0"/>
                <w:sz w:val="20"/>
                <w:szCs w:val="20"/>
              </w:rPr>
            </w:pPr>
            <w:r w:rsidRPr="001C587F">
              <w:rPr>
                <w:rFonts w:ascii="宋体" w:hAnsi="宋体" w:cs="宋体" w:hint="eastAsia"/>
                <w:kern w:val="0"/>
                <w:sz w:val="20"/>
                <w:szCs w:val="20"/>
              </w:rPr>
              <w:t>（二十四）证券交易所：指</w:t>
            </w:r>
            <w:r w:rsidRPr="001C587F">
              <w:rPr>
                <w:rFonts w:ascii="宋体" w:hAnsi="宋体" w:cs="宋体" w:hint="eastAsia"/>
                <w:b/>
                <w:kern w:val="0"/>
                <w:sz w:val="20"/>
                <w:szCs w:val="20"/>
              </w:rPr>
              <w:t>依法成立的</w:t>
            </w:r>
            <w:r w:rsidRPr="001C587F">
              <w:rPr>
                <w:rFonts w:ascii="宋体" w:hAnsi="宋体" w:cs="宋体" w:hint="eastAsia"/>
                <w:kern w:val="0"/>
                <w:sz w:val="20"/>
                <w:szCs w:val="20"/>
              </w:rPr>
              <w:t>证券交易所。</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2A3E" w:rsidRDefault="00D32A3E" w:rsidP="00732A31">
            <w:pPr>
              <w:widowControl/>
              <w:jc w:val="left"/>
              <w:textAlignment w:val="center"/>
              <w:rPr>
                <w:rFonts w:ascii="宋体" w:hAnsi="宋体" w:cs="宋体"/>
                <w:kern w:val="0"/>
                <w:sz w:val="20"/>
                <w:szCs w:val="20"/>
              </w:rPr>
            </w:pPr>
            <w:r w:rsidRPr="001C587F">
              <w:rPr>
                <w:rFonts w:ascii="宋体" w:hAnsi="宋体" w:cs="宋体" w:hint="eastAsia"/>
                <w:kern w:val="0"/>
                <w:sz w:val="20"/>
                <w:szCs w:val="20"/>
              </w:rPr>
              <w:t>第一条 除非本合同另有解释或说明，下列词语或简称具有如下含义：</w:t>
            </w:r>
          </w:p>
          <w:p w:rsidR="00D32A3E" w:rsidRPr="001C587F" w:rsidRDefault="00D32A3E" w:rsidP="00732A31">
            <w:pPr>
              <w:widowControl/>
              <w:jc w:val="left"/>
              <w:textAlignment w:val="center"/>
              <w:rPr>
                <w:rFonts w:ascii="宋体" w:hAnsi="宋体" w:cs="宋体"/>
                <w:kern w:val="0"/>
                <w:sz w:val="20"/>
                <w:szCs w:val="20"/>
              </w:rPr>
            </w:pPr>
            <w:r>
              <w:rPr>
                <w:rFonts w:ascii="宋体" w:hAnsi="宋体" w:cs="宋体" w:hint="eastAsia"/>
                <w:kern w:val="0"/>
                <w:sz w:val="20"/>
                <w:szCs w:val="20"/>
              </w:rPr>
              <w:t>……</w:t>
            </w:r>
          </w:p>
          <w:p w:rsidR="00D32A3E" w:rsidRPr="001C587F" w:rsidRDefault="00D32A3E" w:rsidP="00732A31">
            <w:pPr>
              <w:widowControl/>
              <w:jc w:val="left"/>
              <w:textAlignment w:val="center"/>
              <w:rPr>
                <w:rFonts w:ascii="宋体" w:hAnsi="宋体" w:cs="宋体"/>
                <w:kern w:val="0"/>
                <w:sz w:val="20"/>
                <w:szCs w:val="20"/>
              </w:rPr>
            </w:pPr>
            <w:r w:rsidRPr="001C587F">
              <w:rPr>
                <w:rFonts w:ascii="宋体" w:hAnsi="宋体" w:cs="宋体" w:hint="eastAsia"/>
                <w:kern w:val="0"/>
                <w:sz w:val="20"/>
                <w:szCs w:val="20"/>
              </w:rPr>
              <w:t>（二十四）证券交易所：指上海证券交易所和深圳证券交易所。</w:t>
            </w:r>
          </w:p>
          <w:p w:rsidR="00D32A3E" w:rsidRPr="00501BA2" w:rsidRDefault="00D32A3E" w:rsidP="00732A31">
            <w:pPr>
              <w:widowControl/>
              <w:jc w:val="left"/>
              <w:textAlignment w:val="center"/>
              <w:rPr>
                <w:rFonts w:ascii="宋体" w:hAnsi="宋体" w:cs="宋体"/>
                <w:kern w:val="0"/>
                <w:sz w:val="20"/>
                <w:szCs w:val="20"/>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2A3E" w:rsidRPr="00501BA2" w:rsidRDefault="00D32A3E" w:rsidP="00D32A3E">
            <w:pPr>
              <w:widowControl/>
              <w:jc w:val="left"/>
              <w:textAlignment w:val="center"/>
              <w:rPr>
                <w:rFonts w:ascii="宋体" w:hAnsi="宋体" w:cs="宋体"/>
                <w:kern w:val="0"/>
                <w:sz w:val="20"/>
                <w:szCs w:val="20"/>
              </w:rPr>
            </w:pPr>
            <w:r>
              <w:rPr>
                <w:rFonts w:ascii="宋体" w:hAnsi="宋体" w:cs="宋体"/>
                <w:kern w:val="0"/>
                <w:sz w:val="20"/>
                <w:szCs w:val="20"/>
              </w:rPr>
              <w:t>满足</w:t>
            </w:r>
            <w:r>
              <w:rPr>
                <w:rFonts w:ascii="宋体" w:hAnsi="宋体" w:cs="宋体"/>
                <w:kern w:val="0"/>
                <w:sz w:val="20"/>
                <w:szCs w:val="20"/>
              </w:rPr>
              <w:t>后期</w:t>
            </w:r>
            <w:r>
              <w:rPr>
                <w:rFonts w:ascii="宋体" w:hAnsi="宋体" w:cs="宋体"/>
                <w:kern w:val="0"/>
                <w:sz w:val="20"/>
                <w:szCs w:val="20"/>
              </w:rPr>
              <w:t>北</w:t>
            </w:r>
            <w:proofErr w:type="gramStart"/>
            <w:r>
              <w:rPr>
                <w:rFonts w:ascii="宋体" w:hAnsi="宋体" w:cs="宋体"/>
                <w:kern w:val="0"/>
                <w:sz w:val="20"/>
                <w:szCs w:val="20"/>
              </w:rPr>
              <w:t>交所两融</w:t>
            </w:r>
            <w:proofErr w:type="gramEnd"/>
            <w:r>
              <w:rPr>
                <w:rFonts w:ascii="宋体" w:hAnsi="宋体" w:cs="宋体"/>
                <w:kern w:val="0"/>
                <w:sz w:val="20"/>
                <w:szCs w:val="20"/>
              </w:rPr>
              <w:t>的业务需求</w:t>
            </w:r>
            <w:r>
              <w:rPr>
                <w:rFonts w:ascii="宋体" w:hAnsi="宋体" w:cs="宋体" w:hint="eastAsia"/>
                <w:kern w:val="0"/>
                <w:sz w:val="20"/>
                <w:szCs w:val="20"/>
              </w:rPr>
              <w:t>。</w:t>
            </w:r>
          </w:p>
        </w:tc>
      </w:tr>
      <w:tr w:rsidR="0035524A" w:rsidRPr="00501BA2" w:rsidTr="00066424">
        <w:trPr>
          <w:trHeight w:val="4051"/>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524A" w:rsidRPr="007F145B" w:rsidRDefault="00D32A3E" w:rsidP="00ED465A">
            <w:pPr>
              <w:widowControl/>
              <w:jc w:val="center"/>
              <w:textAlignment w:val="center"/>
              <w:rPr>
                <w:rFonts w:ascii="宋体" w:hAnsi="宋体" w:cs="宋体"/>
                <w:kern w:val="0"/>
                <w:sz w:val="20"/>
                <w:szCs w:val="20"/>
              </w:rPr>
            </w:pPr>
            <w:r>
              <w:rPr>
                <w:rFonts w:ascii="宋体" w:hAnsi="宋体" w:cs="宋体" w:hint="eastAsia"/>
                <w:kern w:val="0"/>
                <w:sz w:val="20"/>
                <w:szCs w:val="20"/>
              </w:rPr>
              <w:t>3</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第三十二条 融资利率、融券费率由甲方与乙方自主商定。融资利率、融券费率、逾期利率及其他费用标准通过</w:t>
            </w:r>
            <w:r w:rsidRPr="0035524A">
              <w:rPr>
                <w:rFonts w:ascii="宋体" w:hAnsi="宋体" w:cs="宋体" w:hint="eastAsia"/>
                <w:b/>
                <w:kern w:val="0"/>
                <w:sz w:val="20"/>
                <w:szCs w:val="20"/>
              </w:rPr>
              <w:t>公司</w:t>
            </w:r>
            <w:r w:rsidRPr="0035524A">
              <w:rPr>
                <w:rFonts w:ascii="宋体" w:hAnsi="宋体" w:cs="宋体" w:hint="eastAsia"/>
                <w:kern w:val="0"/>
                <w:sz w:val="20"/>
                <w:szCs w:val="20"/>
              </w:rPr>
              <w:t>网站、营业场所</w:t>
            </w:r>
            <w:r w:rsidRPr="0035524A">
              <w:rPr>
                <w:rFonts w:ascii="宋体" w:hAnsi="宋体" w:cs="宋体" w:hint="eastAsia"/>
                <w:b/>
                <w:kern w:val="0"/>
                <w:sz w:val="20"/>
                <w:szCs w:val="20"/>
              </w:rPr>
              <w:t>或者其他便捷有效方式公示</w:t>
            </w:r>
            <w:r w:rsidRPr="0035524A">
              <w:rPr>
                <w:rFonts w:ascii="宋体" w:hAnsi="宋体" w:cs="宋体" w:hint="eastAsia"/>
                <w:kern w:val="0"/>
                <w:sz w:val="20"/>
                <w:szCs w:val="20"/>
              </w:rPr>
              <w:t>，具体以乙方融资融券系统中数据为准。</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乙方有权单方面调整融资利率、融券费率，以合同约定方式予以公告。融资融券期限内利率、费率调整的，分段计算融资利息、融券费用。</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第三十二条 融资利率、融券费率由甲方与乙方自主商定。融资利率、融券费率、逾期利率及其他费用标准通过网站及营业场所公告，具体以乙方融资融券系统中数据为准。</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乙方有权单方面调整融资利率、融券费率，以合同约定方式予以公告。融资融券期限内利率、费率调整的，分段计算融资利息、融券费用。</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24A" w:rsidRPr="00501BA2" w:rsidRDefault="0035524A" w:rsidP="00A4637C">
            <w:pPr>
              <w:widowControl/>
              <w:jc w:val="left"/>
              <w:textAlignment w:val="center"/>
              <w:rPr>
                <w:rFonts w:ascii="宋体" w:hAnsi="宋体" w:cs="宋体"/>
                <w:kern w:val="0"/>
                <w:sz w:val="20"/>
                <w:szCs w:val="20"/>
              </w:rPr>
            </w:pPr>
            <w:r>
              <w:rPr>
                <w:rFonts w:ascii="宋体" w:hAnsi="宋体" w:cs="宋体"/>
                <w:kern w:val="0"/>
                <w:sz w:val="20"/>
                <w:szCs w:val="20"/>
              </w:rPr>
              <w:t>根据业务调整</w:t>
            </w:r>
            <w:r w:rsidR="00ED465A">
              <w:rPr>
                <w:rFonts w:ascii="宋体" w:hAnsi="宋体" w:cs="宋体" w:hint="eastAsia"/>
                <w:kern w:val="0"/>
                <w:sz w:val="20"/>
                <w:szCs w:val="20"/>
              </w:rPr>
              <w:t>公示的约定方式</w:t>
            </w:r>
            <w:r>
              <w:rPr>
                <w:rFonts w:ascii="宋体" w:hAnsi="宋体" w:cs="宋体" w:hint="eastAsia"/>
                <w:kern w:val="0"/>
                <w:sz w:val="20"/>
                <w:szCs w:val="20"/>
              </w:rPr>
              <w:t>。</w:t>
            </w:r>
          </w:p>
        </w:tc>
      </w:tr>
      <w:tr w:rsidR="0035524A" w:rsidRPr="00501BA2" w:rsidTr="00066424">
        <w:trPr>
          <w:trHeight w:val="4051"/>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524A" w:rsidRPr="00D10F4D" w:rsidRDefault="00D32A3E" w:rsidP="00ED465A">
            <w:pPr>
              <w:widowControl/>
              <w:jc w:val="center"/>
              <w:textAlignment w:val="center"/>
              <w:rPr>
                <w:rFonts w:ascii="宋体" w:hAnsi="宋体" w:cs="宋体"/>
                <w:kern w:val="0"/>
                <w:sz w:val="20"/>
                <w:szCs w:val="20"/>
              </w:rPr>
            </w:pPr>
            <w:r>
              <w:rPr>
                <w:rFonts w:ascii="宋体" w:hAnsi="宋体" w:cs="宋体" w:hint="eastAsia"/>
                <w:kern w:val="0"/>
                <w:sz w:val="20"/>
                <w:szCs w:val="20"/>
              </w:rPr>
              <w:lastRenderedPageBreak/>
              <w:t>4</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第四十八条  甲方若为上市公司董事、监事、高级管理人员、持有上市公司股份百分之五以上的股东，不得开展以该上市公司股票为标的证券的融资融券交易。</w:t>
            </w:r>
          </w:p>
          <w:p w:rsidR="0035524A" w:rsidRPr="0035524A" w:rsidRDefault="0035524A" w:rsidP="0035524A">
            <w:pPr>
              <w:widowControl/>
              <w:jc w:val="left"/>
              <w:textAlignment w:val="center"/>
              <w:rPr>
                <w:rFonts w:ascii="宋体" w:hAnsi="宋体" w:cs="宋体"/>
                <w:b/>
                <w:kern w:val="0"/>
                <w:sz w:val="20"/>
                <w:szCs w:val="20"/>
              </w:rPr>
            </w:pPr>
            <w:r w:rsidRPr="0035524A">
              <w:rPr>
                <w:rFonts w:ascii="宋体" w:hAnsi="宋体" w:cs="宋体" w:hint="eastAsia"/>
                <w:b/>
                <w:kern w:val="0"/>
                <w:sz w:val="20"/>
                <w:szCs w:val="20"/>
              </w:rPr>
              <w:t>参与注册制下首次公开发行股票战略配售的甲方及其关联方，在参与战略配售的投资者承诺持有期限内，不得融券卖出该上市公司股票，交易所另有规定的除外。</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第四十八条  甲方若为上市公司董事、监事、高级管理人员、持有上市公司股份百分之五以上的股东，不得开展以该上市公司股票为标的证券的融资融券交易。</w:t>
            </w:r>
          </w:p>
          <w:p w:rsidR="0035524A" w:rsidRPr="00501BA2" w:rsidRDefault="0035524A" w:rsidP="0035524A">
            <w:pPr>
              <w:widowControl/>
              <w:jc w:val="left"/>
              <w:textAlignment w:val="center"/>
              <w:rPr>
                <w:rFonts w:ascii="宋体" w:hAnsi="宋体" w:cs="宋体"/>
                <w:kern w:val="0"/>
                <w:sz w:val="20"/>
                <w:szCs w:val="20"/>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24A" w:rsidRPr="007F145B" w:rsidRDefault="0035524A" w:rsidP="0035524A">
            <w:pPr>
              <w:widowControl/>
              <w:jc w:val="left"/>
              <w:textAlignment w:val="center"/>
              <w:rPr>
                <w:rFonts w:ascii="宋体" w:hAnsi="宋体" w:cs="宋体"/>
                <w:kern w:val="0"/>
                <w:sz w:val="20"/>
                <w:szCs w:val="20"/>
              </w:rPr>
            </w:pPr>
            <w:r>
              <w:rPr>
                <w:rFonts w:ascii="宋体" w:hAnsi="宋体" w:cs="宋体" w:hint="eastAsia"/>
                <w:kern w:val="0"/>
                <w:sz w:val="20"/>
                <w:szCs w:val="20"/>
              </w:rPr>
              <w:t>根据注册制新</w:t>
            </w:r>
            <w:proofErr w:type="gramStart"/>
            <w:r>
              <w:rPr>
                <w:rFonts w:ascii="宋体" w:hAnsi="宋体" w:cs="宋体" w:hint="eastAsia"/>
                <w:kern w:val="0"/>
                <w:sz w:val="20"/>
                <w:szCs w:val="20"/>
              </w:rPr>
              <w:t>规</w:t>
            </w:r>
            <w:proofErr w:type="gramEnd"/>
            <w:r>
              <w:rPr>
                <w:rFonts w:ascii="宋体" w:hAnsi="宋体" w:cs="宋体" w:hint="eastAsia"/>
                <w:kern w:val="0"/>
                <w:sz w:val="20"/>
                <w:szCs w:val="20"/>
              </w:rPr>
              <w:t>增加战略配售投资者的交易限制。</w:t>
            </w:r>
          </w:p>
          <w:p w:rsidR="0035524A" w:rsidRPr="007F145B" w:rsidRDefault="0035524A" w:rsidP="0035524A">
            <w:pPr>
              <w:widowControl/>
              <w:jc w:val="left"/>
              <w:textAlignment w:val="center"/>
              <w:rPr>
                <w:rFonts w:ascii="宋体" w:hAnsi="宋体" w:cs="宋体"/>
                <w:kern w:val="0"/>
                <w:sz w:val="20"/>
                <w:szCs w:val="20"/>
              </w:rPr>
            </w:pPr>
          </w:p>
        </w:tc>
      </w:tr>
      <w:tr w:rsidR="0035524A" w:rsidRPr="00501BA2" w:rsidTr="00066424">
        <w:trPr>
          <w:trHeight w:val="4051"/>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524A" w:rsidRPr="00D10F4D" w:rsidRDefault="00D32A3E" w:rsidP="00ED465A">
            <w:pPr>
              <w:widowControl/>
              <w:jc w:val="center"/>
              <w:textAlignment w:val="center"/>
              <w:rPr>
                <w:rFonts w:ascii="宋体" w:hAnsi="宋体" w:cs="宋体"/>
                <w:kern w:val="0"/>
                <w:sz w:val="20"/>
                <w:szCs w:val="20"/>
              </w:rPr>
            </w:pPr>
            <w:r>
              <w:rPr>
                <w:rFonts w:ascii="宋体" w:hAnsi="宋体" w:cs="宋体" w:hint="eastAsia"/>
                <w:kern w:val="0"/>
                <w:sz w:val="20"/>
                <w:szCs w:val="20"/>
              </w:rPr>
              <w:t>5</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第七十二条 甲方偿还债务的方式:</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（一）融资交易债务偿还</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1.</w:t>
            </w:r>
            <w:r w:rsidRPr="0035524A">
              <w:rPr>
                <w:rFonts w:ascii="宋体" w:hAnsi="宋体" w:cs="宋体" w:hint="eastAsia"/>
                <w:kern w:val="0"/>
                <w:sz w:val="20"/>
                <w:szCs w:val="20"/>
              </w:rPr>
              <w:tab/>
              <w:t>甲方可以选择直接还款或卖</w:t>
            </w:r>
            <w:proofErr w:type="gramStart"/>
            <w:r w:rsidRPr="0035524A">
              <w:rPr>
                <w:rFonts w:ascii="宋体" w:hAnsi="宋体" w:cs="宋体" w:hint="eastAsia"/>
                <w:kern w:val="0"/>
                <w:sz w:val="20"/>
                <w:szCs w:val="20"/>
              </w:rPr>
              <w:t>券</w:t>
            </w:r>
            <w:proofErr w:type="gramEnd"/>
            <w:r w:rsidRPr="0035524A">
              <w:rPr>
                <w:rFonts w:ascii="宋体" w:hAnsi="宋体" w:cs="宋体" w:hint="eastAsia"/>
                <w:kern w:val="0"/>
                <w:sz w:val="20"/>
                <w:szCs w:val="20"/>
              </w:rPr>
              <w:t>还款的方式，偿还融资负债。</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2.</w:t>
            </w:r>
            <w:r w:rsidRPr="0035524A">
              <w:rPr>
                <w:rFonts w:ascii="宋体" w:hAnsi="宋体" w:cs="宋体" w:hint="eastAsia"/>
                <w:kern w:val="0"/>
                <w:sz w:val="20"/>
                <w:szCs w:val="20"/>
              </w:rPr>
              <w:tab/>
              <w:t>甲方卖出信用证券账户中融资买入尚未了结合约的证券所得价款，应当先偿还甲方融资欠款。</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3.</w:t>
            </w:r>
            <w:r w:rsidRPr="0035524A">
              <w:rPr>
                <w:rFonts w:ascii="宋体" w:hAnsi="宋体" w:cs="宋体" w:hint="eastAsia"/>
                <w:kern w:val="0"/>
                <w:sz w:val="20"/>
                <w:szCs w:val="20"/>
              </w:rPr>
              <w:tab/>
              <w:t>对于多笔融资交易，按融资交易到期日期，先偿还到期日期在先的债务。</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4.</w:t>
            </w:r>
            <w:r w:rsidRPr="0035524A">
              <w:rPr>
                <w:rFonts w:ascii="宋体" w:hAnsi="宋体" w:cs="宋体" w:hint="eastAsia"/>
                <w:kern w:val="0"/>
                <w:sz w:val="20"/>
                <w:szCs w:val="20"/>
              </w:rPr>
              <w:tab/>
              <w:t>甲方以直接还款方式偿还融资负债，存在多笔融资交易时，可以</w:t>
            </w:r>
            <w:proofErr w:type="gramStart"/>
            <w:r w:rsidRPr="0035524A">
              <w:rPr>
                <w:rFonts w:ascii="宋体" w:hAnsi="宋体" w:cs="宋体" w:hint="eastAsia"/>
                <w:kern w:val="0"/>
                <w:sz w:val="20"/>
                <w:szCs w:val="20"/>
              </w:rPr>
              <w:t>选择按笔还款</w:t>
            </w:r>
            <w:proofErr w:type="gramEnd"/>
            <w:r w:rsidRPr="0035524A">
              <w:rPr>
                <w:rFonts w:ascii="宋体" w:hAnsi="宋体" w:cs="宋体" w:hint="eastAsia"/>
                <w:kern w:val="0"/>
                <w:sz w:val="20"/>
                <w:szCs w:val="20"/>
              </w:rPr>
              <w:t>方式，选定所要偿还的融资负债。</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（二）融券交易债务偿还</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1.</w:t>
            </w:r>
            <w:r w:rsidRPr="0035524A">
              <w:rPr>
                <w:rFonts w:ascii="宋体" w:hAnsi="宋体" w:cs="宋体" w:hint="eastAsia"/>
                <w:kern w:val="0"/>
                <w:sz w:val="20"/>
                <w:szCs w:val="20"/>
              </w:rPr>
              <w:tab/>
              <w:t>甲方可以选择直接还</w:t>
            </w:r>
            <w:proofErr w:type="gramStart"/>
            <w:r w:rsidRPr="0035524A">
              <w:rPr>
                <w:rFonts w:ascii="宋体" w:hAnsi="宋体" w:cs="宋体" w:hint="eastAsia"/>
                <w:kern w:val="0"/>
                <w:sz w:val="20"/>
                <w:szCs w:val="20"/>
              </w:rPr>
              <w:t>券</w:t>
            </w:r>
            <w:proofErr w:type="gramEnd"/>
            <w:r w:rsidRPr="0035524A">
              <w:rPr>
                <w:rFonts w:ascii="宋体" w:hAnsi="宋体" w:cs="宋体" w:hint="eastAsia"/>
                <w:kern w:val="0"/>
                <w:sz w:val="20"/>
                <w:szCs w:val="20"/>
              </w:rPr>
              <w:t>或买券还</w:t>
            </w:r>
            <w:proofErr w:type="gramStart"/>
            <w:r w:rsidRPr="0035524A">
              <w:rPr>
                <w:rFonts w:ascii="宋体" w:hAnsi="宋体" w:cs="宋体" w:hint="eastAsia"/>
                <w:kern w:val="0"/>
                <w:sz w:val="20"/>
                <w:szCs w:val="20"/>
              </w:rPr>
              <w:t>券</w:t>
            </w:r>
            <w:proofErr w:type="gramEnd"/>
            <w:r w:rsidRPr="0035524A">
              <w:rPr>
                <w:rFonts w:ascii="宋体" w:hAnsi="宋体" w:cs="宋体" w:hint="eastAsia"/>
                <w:kern w:val="0"/>
                <w:sz w:val="20"/>
                <w:szCs w:val="20"/>
              </w:rPr>
              <w:t>的方式，偿还融券负债。</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2.</w:t>
            </w:r>
            <w:r w:rsidRPr="0035524A">
              <w:rPr>
                <w:rFonts w:ascii="宋体" w:hAnsi="宋体" w:cs="宋体" w:hint="eastAsia"/>
                <w:kern w:val="0"/>
                <w:sz w:val="20"/>
                <w:szCs w:val="20"/>
              </w:rPr>
              <w:tab/>
              <w:t>未了结相关融券交易前，甲方融券卖出所得价款除以下用途外，不得另作他用：</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（1）买券还</w:t>
            </w:r>
            <w:proofErr w:type="gramStart"/>
            <w:r w:rsidRPr="0035524A">
              <w:rPr>
                <w:rFonts w:ascii="宋体" w:hAnsi="宋体" w:cs="宋体" w:hint="eastAsia"/>
                <w:kern w:val="0"/>
                <w:sz w:val="20"/>
                <w:szCs w:val="20"/>
              </w:rPr>
              <w:t>券</w:t>
            </w:r>
            <w:proofErr w:type="gramEnd"/>
            <w:r w:rsidRPr="0035524A">
              <w:rPr>
                <w:rFonts w:ascii="宋体" w:hAnsi="宋体" w:cs="宋体" w:hint="eastAsia"/>
                <w:kern w:val="0"/>
                <w:sz w:val="20"/>
                <w:szCs w:val="20"/>
              </w:rPr>
              <w:t>；</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（2）偿还融资融券相关利息、费用和融券交易相关权益现金补偿；</w:t>
            </w:r>
          </w:p>
          <w:p w:rsidR="0035524A" w:rsidRPr="0035524A" w:rsidRDefault="0035524A" w:rsidP="0035524A">
            <w:pPr>
              <w:widowControl/>
              <w:jc w:val="left"/>
              <w:textAlignment w:val="center"/>
              <w:rPr>
                <w:rFonts w:ascii="宋体" w:hAnsi="宋体" w:cs="宋体"/>
                <w:b/>
                <w:kern w:val="0"/>
                <w:sz w:val="20"/>
                <w:szCs w:val="20"/>
              </w:rPr>
            </w:pPr>
            <w:r w:rsidRPr="0035524A">
              <w:rPr>
                <w:rFonts w:ascii="宋体" w:hAnsi="宋体" w:cs="宋体" w:hint="eastAsia"/>
                <w:b/>
                <w:kern w:val="0"/>
                <w:sz w:val="20"/>
                <w:szCs w:val="20"/>
              </w:rPr>
              <w:t>（3）买入或申购证券公司现金管理产品、货币市场基金，以及买入在交易所上市的债券交易型开放式指数基金（跟踪指数成分债券</w:t>
            </w:r>
            <w:proofErr w:type="gramStart"/>
            <w:r w:rsidRPr="0035524A">
              <w:rPr>
                <w:rFonts w:ascii="宋体" w:hAnsi="宋体" w:cs="宋体" w:hint="eastAsia"/>
                <w:b/>
                <w:kern w:val="0"/>
                <w:sz w:val="20"/>
                <w:szCs w:val="20"/>
              </w:rPr>
              <w:t>含可转换公司债券</w:t>
            </w:r>
            <w:proofErr w:type="gramEnd"/>
            <w:r w:rsidRPr="0035524A">
              <w:rPr>
                <w:rFonts w:ascii="宋体" w:hAnsi="宋体" w:cs="宋体" w:hint="eastAsia"/>
                <w:b/>
                <w:kern w:val="0"/>
                <w:sz w:val="20"/>
                <w:szCs w:val="20"/>
              </w:rPr>
              <w:t>的除外）、交易所认可的其他高流动性证券。乙方可以根据市场情况调整甲方可买入或申购前述资产的名单；</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lastRenderedPageBreak/>
              <w:t>（4）证监会及交易所规定的其他用途。</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3.</w:t>
            </w:r>
            <w:r w:rsidRPr="0035524A">
              <w:rPr>
                <w:rFonts w:ascii="宋体" w:hAnsi="宋体" w:cs="宋体" w:hint="eastAsia"/>
                <w:kern w:val="0"/>
                <w:sz w:val="20"/>
                <w:szCs w:val="20"/>
              </w:rPr>
              <w:tab/>
              <w:t>对于同一标的证券的多笔融券交易，按融券交易到期日期，先偿还到期日期在先的债务。</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lastRenderedPageBreak/>
              <w:t>第七十二条 甲方偿还债务的方式:</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（一）融资交易债务偿还</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1.</w:t>
            </w:r>
            <w:r w:rsidRPr="0035524A">
              <w:rPr>
                <w:rFonts w:ascii="宋体" w:hAnsi="宋体" w:cs="宋体" w:hint="eastAsia"/>
                <w:kern w:val="0"/>
                <w:sz w:val="20"/>
                <w:szCs w:val="20"/>
              </w:rPr>
              <w:tab/>
              <w:t>甲方可以选择直接还款或卖</w:t>
            </w:r>
            <w:proofErr w:type="gramStart"/>
            <w:r w:rsidRPr="0035524A">
              <w:rPr>
                <w:rFonts w:ascii="宋体" w:hAnsi="宋体" w:cs="宋体" w:hint="eastAsia"/>
                <w:kern w:val="0"/>
                <w:sz w:val="20"/>
                <w:szCs w:val="20"/>
              </w:rPr>
              <w:t>券</w:t>
            </w:r>
            <w:proofErr w:type="gramEnd"/>
            <w:r w:rsidRPr="0035524A">
              <w:rPr>
                <w:rFonts w:ascii="宋体" w:hAnsi="宋体" w:cs="宋体" w:hint="eastAsia"/>
                <w:kern w:val="0"/>
                <w:sz w:val="20"/>
                <w:szCs w:val="20"/>
              </w:rPr>
              <w:t>还款的方式，偿还融资负债。</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2.</w:t>
            </w:r>
            <w:r w:rsidRPr="0035524A">
              <w:rPr>
                <w:rFonts w:ascii="宋体" w:hAnsi="宋体" w:cs="宋体" w:hint="eastAsia"/>
                <w:kern w:val="0"/>
                <w:sz w:val="20"/>
                <w:szCs w:val="20"/>
              </w:rPr>
              <w:tab/>
              <w:t>甲方卖出信用证券账户中融资买入尚未了结合约的证券所得价款，应当先偿还甲方融资欠款。</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3.</w:t>
            </w:r>
            <w:r w:rsidRPr="0035524A">
              <w:rPr>
                <w:rFonts w:ascii="宋体" w:hAnsi="宋体" w:cs="宋体" w:hint="eastAsia"/>
                <w:kern w:val="0"/>
                <w:sz w:val="20"/>
                <w:szCs w:val="20"/>
              </w:rPr>
              <w:tab/>
              <w:t>对于多笔融资交易，按融资交易到期日期，先偿还到期日期在先的债务。</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4.</w:t>
            </w:r>
            <w:r w:rsidRPr="0035524A">
              <w:rPr>
                <w:rFonts w:ascii="宋体" w:hAnsi="宋体" w:cs="宋体" w:hint="eastAsia"/>
                <w:kern w:val="0"/>
                <w:sz w:val="20"/>
                <w:szCs w:val="20"/>
              </w:rPr>
              <w:tab/>
              <w:t>甲方以直接还款方式偿还融资负债，存在多笔融资交易时，可以</w:t>
            </w:r>
            <w:proofErr w:type="gramStart"/>
            <w:r w:rsidRPr="0035524A">
              <w:rPr>
                <w:rFonts w:ascii="宋体" w:hAnsi="宋体" w:cs="宋体" w:hint="eastAsia"/>
                <w:kern w:val="0"/>
                <w:sz w:val="20"/>
                <w:szCs w:val="20"/>
              </w:rPr>
              <w:t>选择按笔还款</w:t>
            </w:r>
            <w:proofErr w:type="gramEnd"/>
            <w:r w:rsidRPr="0035524A">
              <w:rPr>
                <w:rFonts w:ascii="宋体" w:hAnsi="宋体" w:cs="宋体" w:hint="eastAsia"/>
                <w:kern w:val="0"/>
                <w:sz w:val="20"/>
                <w:szCs w:val="20"/>
              </w:rPr>
              <w:t>方式，选定所要偿还的融资负债。</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（二）融券交易债务偿还</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1.</w:t>
            </w:r>
            <w:r w:rsidRPr="0035524A">
              <w:rPr>
                <w:rFonts w:ascii="宋体" w:hAnsi="宋体" w:cs="宋体" w:hint="eastAsia"/>
                <w:kern w:val="0"/>
                <w:sz w:val="20"/>
                <w:szCs w:val="20"/>
              </w:rPr>
              <w:tab/>
              <w:t>甲方可以选择直接还</w:t>
            </w:r>
            <w:proofErr w:type="gramStart"/>
            <w:r w:rsidRPr="0035524A">
              <w:rPr>
                <w:rFonts w:ascii="宋体" w:hAnsi="宋体" w:cs="宋体" w:hint="eastAsia"/>
                <w:kern w:val="0"/>
                <w:sz w:val="20"/>
                <w:szCs w:val="20"/>
              </w:rPr>
              <w:t>券</w:t>
            </w:r>
            <w:proofErr w:type="gramEnd"/>
            <w:r w:rsidRPr="0035524A">
              <w:rPr>
                <w:rFonts w:ascii="宋体" w:hAnsi="宋体" w:cs="宋体" w:hint="eastAsia"/>
                <w:kern w:val="0"/>
                <w:sz w:val="20"/>
                <w:szCs w:val="20"/>
              </w:rPr>
              <w:t>或买券还</w:t>
            </w:r>
            <w:proofErr w:type="gramStart"/>
            <w:r w:rsidRPr="0035524A">
              <w:rPr>
                <w:rFonts w:ascii="宋体" w:hAnsi="宋体" w:cs="宋体" w:hint="eastAsia"/>
                <w:kern w:val="0"/>
                <w:sz w:val="20"/>
                <w:szCs w:val="20"/>
              </w:rPr>
              <w:t>券</w:t>
            </w:r>
            <w:proofErr w:type="gramEnd"/>
            <w:r w:rsidRPr="0035524A">
              <w:rPr>
                <w:rFonts w:ascii="宋体" w:hAnsi="宋体" w:cs="宋体" w:hint="eastAsia"/>
                <w:kern w:val="0"/>
                <w:sz w:val="20"/>
                <w:szCs w:val="20"/>
              </w:rPr>
              <w:t>的方式，偿还融券负债。</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2.</w:t>
            </w:r>
            <w:r w:rsidRPr="0035524A">
              <w:rPr>
                <w:rFonts w:ascii="宋体" w:hAnsi="宋体" w:cs="宋体" w:hint="eastAsia"/>
                <w:kern w:val="0"/>
                <w:sz w:val="20"/>
                <w:szCs w:val="20"/>
              </w:rPr>
              <w:tab/>
              <w:t>未了结相关融券交易前，甲方融券卖出所得价款除以下用途外，不得另作他用：</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（1）买券还</w:t>
            </w:r>
            <w:proofErr w:type="gramStart"/>
            <w:r w:rsidRPr="0035524A">
              <w:rPr>
                <w:rFonts w:ascii="宋体" w:hAnsi="宋体" w:cs="宋体" w:hint="eastAsia"/>
                <w:kern w:val="0"/>
                <w:sz w:val="20"/>
                <w:szCs w:val="20"/>
              </w:rPr>
              <w:t>券</w:t>
            </w:r>
            <w:proofErr w:type="gramEnd"/>
            <w:r w:rsidRPr="0035524A">
              <w:rPr>
                <w:rFonts w:ascii="宋体" w:hAnsi="宋体" w:cs="宋体" w:hint="eastAsia"/>
                <w:kern w:val="0"/>
                <w:sz w:val="20"/>
                <w:szCs w:val="20"/>
              </w:rPr>
              <w:t>；</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（2）偿还融资融券相关利息、费用和融券交易相关权益现金补偿；</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（3）买入或申购证券公司现金管理产品、货币市场基金以及交易所认可的其他高流动性证券；</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（4）证监会及交易所规定的其他用途。</w:t>
            </w:r>
          </w:p>
          <w:p w:rsidR="0035524A" w:rsidRPr="0035524A" w:rsidRDefault="0035524A" w:rsidP="0035524A">
            <w:pPr>
              <w:widowControl/>
              <w:jc w:val="left"/>
              <w:textAlignment w:val="center"/>
              <w:rPr>
                <w:rFonts w:ascii="宋体" w:hAnsi="宋体" w:cs="宋体"/>
                <w:kern w:val="0"/>
                <w:sz w:val="20"/>
                <w:szCs w:val="20"/>
              </w:rPr>
            </w:pPr>
            <w:r w:rsidRPr="0035524A">
              <w:rPr>
                <w:rFonts w:ascii="宋体" w:hAnsi="宋体" w:cs="宋体" w:hint="eastAsia"/>
                <w:kern w:val="0"/>
                <w:sz w:val="20"/>
                <w:szCs w:val="20"/>
              </w:rPr>
              <w:t>3.</w:t>
            </w:r>
            <w:r w:rsidRPr="0035524A">
              <w:rPr>
                <w:rFonts w:ascii="宋体" w:hAnsi="宋体" w:cs="宋体" w:hint="eastAsia"/>
                <w:kern w:val="0"/>
                <w:sz w:val="20"/>
                <w:szCs w:val="20"/>
              </w:rPr>
              <w:tab/>
              <w:t>对于同一标的证券的多笔融券交易，按融券交易到期日期，先偿还到期日期在先的债务。</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24A" w:rsidRDefault="000D1858" w:rsidP="0035524A">
            <w:pPr>
              <w:widowControl/>
              <w:jc w:val="left"/>
              <w:textAlignment w:val="center"/>
              <w:rPr>
                <w:rFonts w:ascii="宋体" w:hAnsi="宋体" w:cs="宋体"/>
                <w:kern w:val="0"/>
                <w:sz w:val="20"/>
                <w:szCs w:val="20"/>
              </w:rPr>
            </w:pPr>
            <w:r>
              <w:rPr>
                <w:rFonts w:ascii="宋体" w:hAnsi="宋体" w:cs="宋体" w:hint="eastAsia"/>
                <w:kern w:val="0"/>
                <w:sz w:val="20"/>
                <w:szCs w:val="20"/>
              </w:rPr>
              <w:t>根据监管新</w:t>
            </w:r>
            <w:proofErr w:type="gramStart"/>
            <w:r>
              <w:rPr>
                <w:rFonts w:ascii="宋体" w:hAnsi="宋体" w:cs="宋体" w:hint="eastAsia"/>
                <w:kern w:val="0"/>
                <w:sz w:val="20"/>
                <w:szCs w:val="20"/>
              </w:rPr>
              <w:t>规</w:t>
            </w:r>
            <w:proofErr w:type="gramEnd"/>
            <w:r w:rsidRPr="000D1858">
              <w:rPr>
                <w:rFonts w:ascii="宋体" w:hAnsi="宋体" w:cs="宋体" w:hint="eastAsia"/>
                <w:kern w:val="0"/>
                <w:sz w:val="20"/>
                <w:szCs w:val="20"/>
              </w:rPr>
              <w:t>优化融券卖出资金使用范围</w:t>
            </w:r>
            <w:r>
              <w:rPr>
                <w:rFonts w:ascii="宋体" w:hAnsi="宋体" w:cs="宋体" w:hint="eastAsia"/>
                <w:kern w:val="0"/>
                <w:sz w:val="20"/>
                <w:szCs w:val="20"/>
              </w:rPr>
              <w:t>。</w:t>
            </w:r>
          </w:p>
        </w:tc>
      </w:tr>
      <w:tr w:rsidR="0035524A" w:rsidRPr="00501BA2" w:rsidTr="00066424">
        <w:trPr>
          <w:trHeight w:val="4051"/>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524A" w:rsidRPr="00D10F4D" w:rsidRDefault="00D32A3E" w:rsidP="00ED465A">
            <w:pPr>
              <w:widowControl/>
              <w:jc w:val="center"/>
              <w:textAlignment w:val="center"/>
              <w:rPr>
                <w:rFonts w:ascii="宋体" w:hAnsi="宋体" w:cs="宋体"/>
                <w:kern w:val="0"/>
                <w:sz w:val="20"/>
                <w:szCs w:val="20"/>
              </w:rPr>
            </w:pPr>
            <w:r>
              <w:rPr>
                <w:rFonts w:ascii="宋体" w:hAnsi="宋体" w:cs="宋体" w:hint="eastAsia"/>
                <w:kern w:val="0"/>
                <w:sz w:val="20"/>
                <w:szCs w:val="20"/>
              </w:rPr>
              <w:lastRenderedPageBreak/>
              <w:t>6</w:t>
            </w:r>
          </w:p>
        </w:tc>
        <w:tc>
          <w:tcPr>
            <w:tcW w:w="32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1858" w:rsidRPr="000D1858" w:rsidRDefault="000D1858" w:rsidP="000D1858">
            <w:pPr>
              <w:widowControl/>
              <w:jc w:val="left"/>
              <w:textAlignment w:val="center"/>
              <w:rPr>
                <w:rFonts w:ascii="宋体" w:hAnsi="宋体" w:cs="宋体"/>
                <w:b/>
                <w:kern w:val="0"/>
                <w:sz w:val="20"/>
                <w:szCs w:val="20"/>
              </w:rPr>
            </w:pPr>
            <w:r w:rsidRPr="000D1858">
              <w:rPr>
                <w:rFonts w:ascii="宋体" w:hAnsi="宋体" w:cs="宋体" w:hint="eastAsia"/>
                <w:kern w:val="0"/>
                <w:sz w:val="20"/>
                <w:szCs w:val="20"/>
              </w:rPr>
              <w:t>第一百二十二条 在本合同执行中发生的争议以及与本合同相关的任何争议，</w:t>
            </w:r>
            <w:r w:rsidRPr="000D1858">
              <w:rPr>
                <w:rFonts w:ascii="宋体" w:hAnsi="宋体" w:cs="宋体" w:hint="eastAsia"/>
                <w:b/>
                <w:kern w:val="0"/>
                <w:sz w:val="20"/>
                <w:szCs w:val="20"/>
              </w:rPr>
              <w:t>可以本着友好协商，互惠互利的原则自行解决；协商不成的，各方一致同意提请中国证券业协会证券纠纷调解中心或中国证券业协会派出机构进行调解。协商或调解不成的，甲、乙双方约定采取下列方式解决：向乙方所在地有管辖权的人民法院诉讼解决。</w:t>
            </w:r>
          </w:p>
          <w:p w:rsidR="0035524A" w:rsidRPr="0035524A" w:rsidRDefault="000D1858" w:rsidP="000D1858">
            <w:pPr>
              <w:widowControl/>
              <w:jc w:val="left"/>
              <w:textAlignment w:val="center"/>
              <w:rPr>
                <w:rFonts w:ascii="宋体" w:hAnsi="宋体" w:cs="宋体"/>
                <w:kern w:val="0"/>
                <w:sz w:val="20"/>
                <w:szCs w:val="20"/>
              </w:rPr>
            </w:pPr>
            <w:r w:rsidRPr="000D1858">
              <w:rPr>
                <w:rFonts w:ascii="宋体" w:hAnsi="宋体" w:cs="宋体" w:hint="eastAsia"/>
                <w:kern w:val="0"/>
                <w:sz w:val="20"/>
                <w:szCs w:val="20"/>
              </w:rPr>
              <w:t>乙方受理投诉的电话号码：0755-26982993，邮箱地址：jgbts@ydzq.sgcc.com.cn。</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1858" w:rsidRPr="000D1858" w:rsidRDefault="000D1858" w:rsidP="000D1858">
            <w:pPr>
              <w:widowControl/>
              <w:jc w:val="left"/>
              <w:textAlignment w:val="center"/>
              <w:rPr>
                <w:rFonts w:ascii="宋体" w:hAnsi="宋体" w:cs="宋体"/>
                <w:kern w:val="0"/>
                <w:sz w:val="20"/>
                <w:szCs w:val="20"/>
              </w:rPr>
            </w:pPr>
            <w:r w:rsidRPr="000D1858">
              <w:rPr>
                <w:rFonts w:ascii="宋体" w:hAnsi="宋体" w:cs="宋体" w:hint="eastAsia"/>
                <w:kern w:val="0"/>
                <w:sz w:val="20"/>
                <w:szCs w:val="20"/>
              </w:rPr>
              <w:t>第一百二十二条 在本合同执行中发生的争议以及与本合同相关的任何争议，双方应友好协商解决。纠纷解决方式及途径，包括但不限于协商解决、申请调解、提交仲裁、提起诉讼。提起诉讼的，双方同意向合同签订地（即乙方住所地）有管辖权人民法院提起诉讼。</w:t>
            </w:r>
          </w:p>
          <w:p w:rsidR="0035524A" w:rsidRPr="0035524A" w:rsidRDefault="000D1858" w:rsidP="000D1858">
            <w:pPr>
              <w:widowControl/>
              <w:jc w:val="left"/>
              <w:textAlignment w:val="center"/>
              <w:rPr>
                <w:rFonts w:ascii="宋体" w:hAnsi="宋体" w:cs="宋体"/>
                <w:kern w:val="0"/>
                <w:sz w:val="20"/>
                <w:szCs w:val="20"/>
              </w:rPr>
            </w:pPr>
            <w:r w:rsidRPr="000D1858">
              <w:rPr>
                <w:rFonts w:ascii="宋体" w:hAnsi="宋体" w:cs="宋体" w:hint="eastAsia"/>
                <w:kern w:val="0"/>
                <w:sz w:val="20"/>
                <w:szCs w:val="20"/>
              </w:rPr>
              <w:t>乙方受理投诉的电话号码：0755-26982993，邮箱地址：jgbts@ydzq.sgcc.com.cn。</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24A" w:rsidRDefault="000D1858" w:rsidP="0035524A">
            <w:pPr>
              <w:widowControl/>
              <w:jc w:val="left"/>
              <w:textAlignment w:val="center"/>
              <w:rPr>
                <w:rFonts w:ascii="宋体" w:hAnsi="宋体" w:cs="宋体"/>
                <w:kern w:val="0"/>
                <w:sz w:val="20"/>
                <w:szCs w:val="20"/>
              </w:rPr>
            </w:pPr>
            <w:r>
              <w:rPr>
                <w:rFonts w:ascii="宋体" w:hAnsi="宋体" w:cs="宋体"/>
                <w:kern w:val="0"/>
                <w:sz w:val="20"/>
                <w:szCs w:val="20"/>
              </w:rPr>
              <w:t>根据业务需求调整完善法律适用和争议条款</w:t>
            </w:r>
            <w:r>
              <w:rPr>
                <w:rFonts w:ascii="宋体" w:hAnsi="宋体" w:cs="宋体" w:hint="eastAsia"/>
                <w:kern w:val="0"/>
                <w:sz w:val="20"/>
                <w:szCs w:val="20"/>
              </w:rPr>
              <w:t>。</w:t>
            </w:r>
          </w:p>
        </w:tc>
      </w:tr>
    </w:tbl>
    <w:p w:rsidR="00D10F4D" w:rsidRDefault="00D10F4D" w:rsidP="00B110CF">
      <w:pPr>
        <w:widowControl/>
        <w:jc w:val="left"/>
        <w:rPr>
          <w:rFonts w:ascii="方正黑体_GBK" w:eastAsia="方正黑体_GBK" w:hAnsi="宋体" w:cs="FZHTJW--GB1-0"/>
          <w:kern w:val="0"/>
          <w:sz w:val="32"/>
          <w:szCs w:val="32"/>
        </w:rPr>
      </w:pPr>
      <w:bookmarkStart w:id="0" w:name="_GoBack"/>
      <w:bookmarkEnd w:id="0"/>
    </w:p>
    <w:p w:rsidR="00D10F4D" w:rsidRDefault="00D10F4D" w:rsidP="00B110CF">
      <w:pPr>
        <w:widowControl/>
        <w:jc w:val="left"/>
        <w:rPr>
          <w:rFonts w:ascii="方正黑体_GBK" w:eastAsia="方正黑体_GBK" w:hAnsi="宋体" w:cs="FZHTJW--GB1-0"/>
          <w:kern w:val="0"/>
          <w:sz w:val="32"/>
          <w:szCs w:val="32"/>
        </w:rPr>
      </w:pPr>
    </w:p>
    <w:p w:rsidR="00D10F4D" w:rsidRDefault="00D10F4D" w:rsidP="00B110CF">
      <w:pPr>
        <w:widowControl/>
        <w:jc w:val="left"/>
        <w:rPr>
          <w:rFonts w:ascii="方正黑体_GBK" w:eastAsia="方正黑体_GBK" w:hAnsi="宋体" w:cs="FZHTJW--GB1-0"/>
          <w:kern w:val="0"/>
          <w:sz w:val="32"/>
          <w:szCs w:val="32"/>
        </w:rPr>
      </w:pPr>
    </w:p>
    <w:p w:rsidR="00386F75" w:rsidRPr="001D6328" w:rsidRDefault="00386F75"/>
    <w:sectPr w:rsidR="00386F75" w:rsidRPr="001D6328" w:rsidSect="00386F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8DF" w:rsidRDefault="005538DF" w:rsidP="001D6328">
      <w:r>
        <w:separator/>
      </w:r>
    </w:p>
  </w:endnote>
  <w:endnote w:type="continuationSeparator" w:id="0">
    <w:p w:rsidR="005538DF" w:rsidRDefault="005538DF" w:rsidP="001D63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FZHTJW--GB1-0">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8DF" w:rsidRDefault="005538DF" w:rsidP="001D6328">
      <w:r>
        <w:separator/>
      </w:r>
    </w:p>
  </w:footnote>
  <w:footnote w:type="continuationSeparator" w:id="0">
    <w:p w:rsidR="005538DF" w:rsidRDefault="005538DF" w:rsidP="001D63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328"/>
    <w:rsid w:val="0009541E"/>
    <w:rsid w:val="000D1858"/>
    <w:rsid w:val="00130A2F"/>
    <w:rsid w:val="001C002F"/>
    <w:rsid w:val="001C587F"/>
    <w:rsid w:val="001D6328"/>
    <w:rsid w:val="0025667E"/>
    <w:rsid w:val="002A067A"/>
    <w:rsid w:val="0035524A"/>
    <w:rsid w:val="00386F75"/>
    <w:rsid w:val="003B622E"/>
    <w:rsid w:val="003E500B"/>
    <w:rsid w:val="00473C8F"/>
    <w:rsid w:val="004E3BF5"/>
    <w:rsid w:val="00501BA2"/>
    <w:rsid w:val="005538DF"/>
    <w:rsid w:val="00582D5E"/>
    <w:rsid w:val="00675686"/>
    <w:rsid w:val="00790C75"/>
    <w:rsid w:val="007B080B"/>
    <w:rsid w:val="00876FA7"/>
    <w:rsid w:val="008E2285"/>
    <w:rsid w:val="009F48D3"/>
    <w:rsid w:val="00A155F0"/>
    <w:rsid w:val="00A449DD"/>
    <w:rsid w:val="00B110CF"/>
    <w:rsid w:val="00B56D05"/>
    <w:rsid w:val="00B6381E"/>
    <w:rsid w:val="00BD05BE"/>
    <w:rsid w:val="00BE1D8F"/>
    <w:rsid w:val="00C05422"/>
    <w:rsid w:val="00C41CAB"/>
    <w:rsid w:val="00CD576F"/>
    <w:rsid w:val="00D10F4D"/>
    <w:rsid w:val="00D26A62"/>
    <w:rsid w:val="00D32A3E"/>
    <w:rsid w:val="00DE4AC9"/>
    <w:rsid w:val="00E40198"/>
    <w:rsid w:val="00E90BF6"/>
    <w:rsid w:val="00ED05F1"/>
    <w:rsid w:val="00ED4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3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3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D6328"/>
    <w:rPr>
      <w:sz w:val="18"/>
      <w:szCs w:val="18"/>
    </w:rPr>
  </w:style>
  <w:style w:type="paragraph" w:styleId="a4">
    <w:name w:val="footer"/>
    <w:basedOn w:val="a"/>
    <w:link w:val="Char0"/>
    <w:uiPriority w:val="99"/>
    <w:semiHidden/>
    <w:unhideWhenUsed/>
    <w:rsid w:val="001D63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328"/>
    <w:rPr>
      <w:sz w:val="18"/>
      <w:szCs w:val="18"/>
    </w:rPr>
  </w:style>
  <w:style w:type="paragraph" w:customStyle="1" w:styleId="Default">
    <w:name w:val="Default"/>
    <w:qFormat/>
    <w:rsid w:val="00501BA2"/>
    <w:pPr>
      <w:widowControl w:val="0"/>
      <w:autoSpaceDE w:val="0"/>
      <w:autoSpaceDN w:val="0"/>
      <w:adjustRightInd w:val="0"/>
    </w:pPr>
    <w:rPr>
      <w:rFonts w:ascii="宋体" w:eastAsia="宋体" w:hAnsi="Times New Roman" w:cs="宋体"/>
      <w:color w:val="000000"/>
      <w:kern w:val="0"/>
      <w:sz w:val="24"/>
      <w:szCs w:val="24"/>
    </w:rPr>
  </w:style>
  <w:style w:type="paragraph" w:customStyle="1" w:styleId="p0">
    <w:name w:val="p0"/>
    <w:basedOn w:val="a"/>
    <w:qFormat/>
    <w:rsid w:val="00501BA2"/>
    <w:pPr>
      <w:widowControl/>
    </w:pPr>
    <w:rPr>
      <w:rFonts w:ascii="Calibri" w:hAnsi="Calibri" w:cs="宋体"/>
      <w:kern w:val="0"/>
      <w:szCs w:val="21"/>
    </w:rPr>
  </w:style>
  <w:style w:type="paragraph" w:styleId="a5">
    <w:name w:val="List Paragraph"/>
    <w:basedOn w:val="a"/>
    <w:uiPriority w:val="34"/>
    <w:qFormat/>
    <w:rsid w:val="001C587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385</Words>
  <Characters>2199</Characters>
  <Application>Microsoft Office Word</Application>
  <DocSecurity>0</DocSecurity>
  <Lines>18</Lines>
  <Paragraphs>5</Paragraphs>
  <ScaleCrop>false</ScaleCrop>
  <Company>神州网信技术有限公司</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叶振兴</dc:creator>
  <cp:keywords/>
  <dc:description/>
  <cp:lastModifiedBy>叶振兴</cp:lastModifiedBy>
  <cp:revision>17</cp:revision>
  <dcterms:created xsi:type="dcterms:W3CDTF">2023-03-03T11:59:00Z</dcterms:created>
  <dcterms:modified xsi:type="dcterms:W3CDTF">2023-03-14T05:21:00Z</dcterms:modified>
</cp:coreProperties>
</file>